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Position Statement — Sign-Off and Finalization Memorandum</w:t>
      </w:r>
    </w:p>
    <w:p>
      <w:r>
        <w:t>Re: Sable Ridge Transport — Driver Meal-Break Collective Action. Prepared by Hyun-woo Bae, Senior Associate, Litigation. This memorandum documents the resolution of sign-off ownership for the Position Statement, the review approach applied, and the basis on which the Position Statement is now finalized under my ownership.</w:t>
      </w:r>
    </w:p>
    <w:p>
      <w:pPr>
        <w:pStyle w:val="Heading2"/>
      </w:pPr>
      <w:r>
        <w:t>1. Summary</w:t>
      </w:r>
    </w:p>
    <w:p>
      <w:r>
        <w:t>Sign-off ownership for the Position Statement was unresolved as between Jamal and the supervising partner as of the close of business two days prior to the applicable EOD deadline. Jamal did not respond to two follow-up requests for confirmation. I escalated the open question directly to Bennett ahead of the EOD deadline rather than carry it unresolved into the following morning's docket call. Bennett confirmed that ownership rests with me. I have accordingly completed review and finalized the Position Statement on that basis. No substantive changes to scope were required as a result of this resolution.</w:t>
      </w:r>
    </w:p>
    <w:p>
      <w:pPr>
        <w:pStyle w:val="Heading2"/>
      </w:pPr>
      <w:r>
        <w:t>2. Chronology of the Ownership Question</w:t>
      </w:r>
    </w:p>
    <w:p>
      <w:pPr>
        <w:pStyle w:val="ListNumber"/>
      </w:pPr>
      <w:r>
        <w:t>Flagged to Thandiwe that Position Statement review sign-off ownership (Jamal vs. partner) was unresolved ahead of the EOD deadline.</w:t>
      </w:r>
    </w:p>
    <w:p>
      <w:pPr>
        <w:pStyle w:val="ListNumber"/>
      </w:pPr>
      <w:r>
        <w:t>Followed up on the same open question with no response received from Jamal.</w:t>
      </w:r>
    </w:p>
    <w:p>
      <w:pPr>
        <w:pStyle w:val="ListNumber"/>
      </w:pPr>
      <w:r>
        <w:t>Reiterated to Thandiwe that Jamal remained unresponsive and proposed escalating directly to the partner if no answer was received by end of day.</w:t>
      </w:r>
    </w:p>
    <w:p>
      <w:pPr>
        <w:pStyle w:val="ListNumber"/>
      </w:pPr>
      <w:r>
        <w:t>Confirmed ownership was still unresolved and proposed escalating directly to Bennett before EOD rather than carrying the item into the next day's docket call unresolved.</w:t>
      </w:r>
    </w:p>
    <w:p>
      <w:pPr>
        <w:pStyle w:val="ListNumber"/>
      </w:pPr>
      <w:r>
        <w:t>Escalated the unresolved question to Bennett ahead of the EOD deadline.</w:t>
      </w:r>
    </w:p>
    <w:p>
      <w:pPr>
        <w:pStyle w:val="ListNumber"/>
      </w:pPr>
      <w:r>
        <w:t>Received confirmation that sign-off ownership rests with me, not Jamal.</w:t>
      </w:r>
    </w:p>
    <w:p>
      <w:pPr>
        <w:pStyle w:val="Heading2"/>
      </w:pPr>
      <w:r>
        <w:t>3. Scope Confirmation</w:t>
      </w:r>
    </w:p>
    <w:p>
      <w:r>
        <w:t>The Deshmukh/Ardmore-adjacent item was confirmed to remain out of scope for the Position Statement pending separate resolution of representation on the Ardmore Elevator matter. This exclusion is noted here for completeness and does not affect the substance of the Position Statement as finalized.</w:t>
      </w:r>
    </w:p>
    <w:p>
      <w:pPr>
        <w:pStyle w:val="Heading2"/>
      </w:pPr>
      <w:r>
        <w:t>4. Review Approach Applied</w:t>
      </w:r>
    </w:p>
    <w:p>
      <w:pPr>
        <w:pStyle w:val="ListBullet"/>
      </w:pPr>
      <w:r>
        <w:t>Reviewed the Position Statement against the current factual record for the Sable Ridge driver meal-break collective action, including custodian interview notes and the document review/privilege log tracker.</w:t>
      </w:r>
    </w:p>
    <w:p>
      <w:pPr>
        <w:pStyle w:val="ListBullet"/>
      </w:pPr>
      <w:r>
        <w:t>Confirmed consistency with positions taken in the Reply Brief in Further Support of Plaintiffs' Motion for Conditional Certification.</w:t>
      </w:r>
    </w:p>
    <w:p>
      <w:pPr>
        <w:pStyle w:val="ListBullet"/>
      </w:pPr>
      <w:r>
        <w:t>Confirmed no open issues from the Ardmore Elevator good-standing filing (now owned by Lucien, with remediation date pending) bear on the Position Statement's content or timing.</w:t>
      </w:r>
    </w:p>
    <w:p>
      <w:pPr>
        <w:pStyle w:val="Heading2"/>
      </w:pPr>
      <w:r>
        <w:t>5. Disposition</w:t>
      </w:r>
    </w:p>
    <w:p>
      <w:r>
        <w:t>The Position Statement is finalized under my sign-off, effective as of this memorandum, per Bennett's confirmation of ownership. This memorandum, together with the finalized Position Statement, closes out the open sign-off question ahead of tomorrow's docket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