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PRIVILEGED AND CONFIDENTIAL — ATTORNEY WORK PRODUCT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File — Sable Ridge Transport, Inc.</w:t>
            </w:r>
          </w:p>
        </w:tc>
      </w:tr>
      <w:tr>
        <w:tc>
          <w:tcPr>
            <w:tcW w:type="dxa" w:w="4320"/>
          </w:tcPr>
          <w:p>
            <w:r>
              <w:t>From</w:t>
            </w:r>
          </w:p>
        </w:tc>
        <w:tc>
          <w:tcPr>
            <w:tcW w:type="dxa" w:w="4320"/>
          </w:tcPr>
          <w:p>
            <w:r>
              <w:t>Jamal Okonkwo, Counsel, Employment</w:t>
            </w:r>
          </w:p>
        </w:tc>
      </w:tr>
      <w:tr>
        <w:tc>
          <w:tcPr>
            <w:tcW w:type="dxa" w:w="4320"/>
          </w:tcPr>
          <w:p>
            <w:r>
              <w:t>Re</w:t>
            </w:r>
          </w:p>
        </w:tc>
        <w:tc>
          <w:tcPr>
            <w:tcW w:type="dxa" w:w="4320"/>
          </w:tcPr>
          <w:p>
            <w:r>
              <w:t>Driver meal-break collective action — case status and near-term litigation plan</w:t>
            </w:r>
          </w:p>
        </w:tc>
      </w:tr>
      <w:tr>
        <w:tc>
          <w:tcPr>
            <w:tcW w:type="dxa" w:w="4320"/>
          </w:tcPr>
          <w:p>
            <w:r>
              <w:t>Matter</w:t>
            </w:r>
          </w:p>
        </w:tc>
        <w:tc>
          <w:tcPr>
            <w:tcW w:type="dxa" w:w="4320"/>
          </w:tcPr>
          <w:p>
            <w:r>
              <w:t>Sable Ridge - driver meal-break collective action (tkt-000012)</w:t>
            </w:r>
          </w:p>
        </w:tc>
      </w:tr>
    </w:tbl>
    <w:p>
      <w:pPr>
        <w:pStyle w:val="Heading2"/>
      </w:pPr>
      <w:r>
        <w:t>1. Bottom line</w:t>
      </w:r>
    </w:p>
    <w:p>
      <w:r>
        <w:t>We do not yet have a defensible position on the central factual question in this case: whether Sable Ridge's dispatch software actually prevented drivers from taking uninterrupted 30-minute breaks, or merely made it inconvenient. Arguably that distinction decides conditional certification. Until we have driver-level dispatch logs and break-log data reconciled against each other, any brief we file is built on assertion rather than evidence. That reconciliation is the next required step, not optional groundwork.</w:t>
      </w:r>
    </w:p>
    <w:p>
      <w:pPr>
        <w:pStyle w:val="Heading2"/>
      </w:pPr>
      <w:r>
        <w:t>2. Where the case stands</w:t>
      </w:r>
    </w:p>
    <w:p>
      <w:r>
        <w:t>Plaintiffs moved for conditional certification of a collective under 29 U.S.C. § 216(b) covering all Sable Ridge drivers who worked at the Modesto and Fresno terminals since March 2022. The motion rests on eleven declarations, each asserting that the dispatch system auto-assigned the next pickup before the prior break period elapsed. We have not yet filed opposition. The current schedule gives us until the deadline set in the case management order to respond; that date is close enough that the data work below cannot slip past this week without forcing a extension request we would rather not make.</w:t>
      </w:r>
    </w:p>
    <w:p>
      <w:pPr>
        <w:pStyle w:val="Heading2"/>
      </w:pPr>
      <w:r>
        <w:t>3. What the opposition needs, and what we have</w:t>
      </w:r>
    </w:p>
    <w:p>
      <w:pPr>
        <w:pStyle w:val="ListNumber"/>
      </w:pPr>
      <w:r>
        <w:t>Terminal-level dispatch logs for the proposed class period — requested from IT, partially produced. Modesto complete; Fresno still outstanding.</w:t>
      </w:r>
    </w:p>
    <w:p>
      <w:pPr>
        <w:pStyle w:val="ListNumber"/>
      </w:pPr>
      <w:r>
        <w:t>Break-log data from the timekeeping vendor — produced in full but in a format that does not map cleanly to dispatch timestamps without a join on driver ID and shift date.</w:t>
      </w:r>
    </w:p>
    <w:p>
      <w:pPr>
        <w:pStyle w:val="ListNumber"/>
      </w:pPr>
      <w:r>
        <w:t>Declarations or interrogatory responses from a broader driver sample than plaintiffs' eleven, to show the declarants are not representative — not yet started.</w:t>
      </w:r>
    </w:p>
    <w:p>
      <w:pPr>
        <w:pStyle w:val="ListNumber"/>
      </w:pPr>
      <w:r>
        <w:t>An expert who can speak to whether the dispatch software's design is capable of overriding a break window, as opposed to whether it did so in these instances — not yet retained.</w:t>
      </w:r>
    </w:p>
    <w:p>
      <w:pPr>
        <w:pStyle w:val="Heading2"/>
      </w:pPr>
      <w:r>
        <w:t>4. Assessment</w:t>
      </w:r>
    </w:p>
    <w:p>
      <w:r>
        <w:t>Eleven declarations from two terminals, out of a proposed class in the low hundreds, is a thin record for plaintiffs but conditional certification is a low bar and courts in this district have granted it on less. We should assume we are opposing from behind. The dispatch-log reconciliation is the single highest-value task before the response deadline: if the data show the software allowed manual break overrides in the great majority of shifts, we have a real factual dispute to put in front of the court, supported by something better than argument. If the data instead show the override was structural, that changes the settlement calculus for this matter substantially, and we should say so internally now rather than after the motion is fully briefed.</w:t>
      </w:r>
    </w:p>
    <w:p>
      <w:pPr>
        <w:pStyle w:val="Heading2"/>
      </w:pPr>
      <w:r>
        <w:t>5. Next steps</w:t>
      </w:r>
    </w:p>
    <w:p>
      <w:pPr>
        <w:pStyle w:val="ListNumber"/>
      </w:pPr>
      <w:r>
        <w:t>Escalate the Fresno dispatch-log production with IT this week; without it the reconciliation is half-blind.</w:t>
      </w:r>
    </w:p>
    <w:p>
      <w:pPr>
        <w:pStyle w:val="ListNumber"/>
      </w:pPr>
      <w:r>
        <w:t>Build the dispatch/break-log reconciliation workpaper (driver ID, shift date, scheduled break window, actual break window, override flag) as soon as Fresno data lands.</w:t>
      </w:r>
    </w:p>
    <w:p>
      <w:pPr>
        <w:pStyle w:val="ListNumber"/>
      </w:pPr>
      <w:r>
        <w:t>Identify and begin vetting a wage-and-hour dispatch-systems expert; retention lead time on a credible one runs six to eight weeks, which is tight against the schedule.</w:t>
      </w:r>
    </w:p>
    <w:p>
      <w:pPr>
        <w:pStyle w:val="ListNumber"/>
      </w:pPr>
      <w:r>
        <w:t>Pull a randomized sample of 40-50 non-declarant drivers across both terminals for supplemental interrogatories, to test whether the declarants' experience generalizes.</w:t>
      </w:r>
    </w:p>
    <w:p>
      <w:pPr>
        <w:pStyle w:val="ListNumber"/>
      </w:pPr>
      <w:r>
        <w:t>Revisit the opposition brief outline once the reconciliation workpaper exists — not before; drafting around data we don't yet have wastes time twice.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