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Marguerite [Board Liaison / General Counsel]</w:t>
            </w:r>
          </w:p>
        </w:tc>
      </w:tr>
      <w:tr>
        <w:tc>
          <w:tcPr>
            <w:tcW w:type="dxa" w:w="4320"/>
          </w:tcPr>
          <w:p>
            <w:r>
              <w:t>From:</w:t>
            </w:r>
          </w:p>
        </w:tc>
        <w:tc>
          <w:tcPr>
            <w:tcW w:type="dxa" w:w="4320"/>
          </w:tcPr>
          <w:p>
            <w:r>
              <w:t>Bennett Ashworth, Partner, Commercial Litigation</w:t>
            </w:r>
          </w:p>
        </w:tc>
      </w:tr>
      <w:tr>
        <w:tc>
          <w:tcPr>
            <w:tcW w:type="dxa" w:w="4320"/>
          </w:tcPr>
          <w:p>
            <w:r>
              <w:t>Re:</w:t>
            </w:r>
          </w:p>
        </w:tc>
        <w:tc>
          <w:tcPr>
            <w:tcW w:type="dxa" w:w="4320"/>
          </w:tcPr>
          <w:p>
            <w:r>
              <w:t>Case Exposure Assessment — Sable Ridge Matter — Board Meeting Thursday</w:t>
            </w:r>
          </w:p>
        </w:tc>
      </w:tr>
      <w:tr>
        <w:tc>
          <w:tcPr>
            <w:tcW w:type="dxa" w:w="4320"/>
          </w:tcPr>
          <w:p>
            <w:r>
              <w:t>Status:</w:t>
            </w:r>
          </w:p>
        </w:tc>
        <w:tc>
          <w:tcPr>
            <w:tcW w:type="dxa" w:w="4320"/>
          </w:tcPr>
          <w:p>
            <w:r>
              <w:t>Privileged and Confidential — Attorney Work Product</w:t>
            </w:r>
          </w:p>
        </w:tc>
      </w:tr>
    </w:tbl>
    <w:p>
      <w:pPr>
        <w:pStyle w:val="Heading2"/>
      </w:pPr>
      <w:r>
        <w:t>I. Purpose and Scope</w:t>
      </w:r>
    </w:p>
    <w:p>
      <w:r>
        <w:t>This memorandum consolidates the firm's current assessment of case exposure in the Sable Ridge matter for the Board's Thursday meeting. It addresses discovery posture, filing-readiness of the standing argument, document production overlap and feasibility analysis previously sent under separate cover, and the fee tally against the Board's approved budget. It is intended to give the Board a single reference point rather than to restate the underlying legal argument, which remains as drafted.</w:t>
      </w:r>
    </w:p>
    <w:p>
      <w:pPr>
        <w:pStyle w:val="Heading2"/>
      </w:pPr>
      <w:r>
        <w:t>II. Discovery Posture and Filing Readiness</w:t>
      </w:r>
    </w:p>
    <w:p>
      <w:r>
        <w:t>The standing-argument draft is substantially complete. Two dependencies remain, both gating items for filing readiness and both being chased on a same-day basis against tomorrow's end-of-day integration deadline:</w:t>
      </w:r>
    </w:p>
    <w:p>
      <w:pPr>
        <w:pStyle w:val="ListNumber"/>
      </w:pPr>
      <w:r>
        <w:t>Section I — Bates range for the exhibit set, to be delivered by document review today so it can be inserted before integration.</w:t>
      </w:r>
    </w:p>
    <w:p>
      <w:pPr>
        <w:pStyle w:val="ListNumber"/>
      </w:pPr>
      <w:r>
        <w:t>Section V — discovery-cutoff date, to be confirmed against the docket today so the prejudice argument is concrete before the section is combined with the timeline analysis.</w:t>
      </w:r>
    </w:p>
    <w:p>
      <w:r>
        <w:t>Hyunwoo's timeline cross-check has been received and reconciled with no discrepancies. Cecile's independent-derivation coordination on this workstream is fully closed. No changes have been made to the underlying legal argument, citations, or the original drafting; the revisions made this week were limited to sequencing and next-step framing for the two open dependencies.</w:t>
      </w:r>
    </w:p>
    <w:p>
      <w:r>
        <w:t>As an independent check, I personally spot-checked the rebuilt exhibit/witness list against the record before signing off rather than approving it on the strength of the team's representation alone. That check confirmed Exhibit 17 is properly folded into the existing declarations entries rather than carried as a separate line item, consistent with the explanation provided by the team. The filing batch is cleared to proceed on that basis. The privilege log and cite-check package are likewise closed out.</w:t>
      </w:r>
    </w:p>
    <w:p>
      <w:pPr>
        <w:pStyle w:val="Heading2"/>
      </w:pPr>
      <w:r>
        <w:t>III. Document Production — Overlap, Feasibility, and Cost Exposure</w:t>
      </w:r>
    </w:p>
    <w:p>
      <w:r>
        <w:t>Under separate cover I have sent Marguerite a consolidated overlap-and-feasibility memo addressing the following, each of which bears directly on exposure:</w:t>
      </w:r>
    </w:p>
    <w:p>
      <w:pPr>
        <w:pStyle w:val="ListBullet"/>
      </w:pPr>
      <w:r>
        <w:t>Confirmed clock start and due dates for the pending discovery request.</w:t>
      </w:r>
    </w:p>
    <w:p>
      <w:pPr>
        <w:pStyle w:val="ListBullet"/>
      </w:pPr>
      <w:r>
        <w:t>A category-by-category overlap analysis of the new request against the first request for production, identifying where responsive material has already been produced.</w:t>
      </w:r>
    </w:p>
    <w:p>
      <w:pPr>
        <w:pStyle w:val="ListBullet"/>
      </w:pPr>
      <w:r>
        <w:t>A feasibility-versus-extension analysis assessing whether the current deadline is achievable as scoped or whether an extension should be sought, and the relative exposure of each path.</w:t>
      </w:r>
    </w:p>
    <w:p>
      <w:pPr>
        <w:pStyle w:val="ListBullet"/>
      </w:pPr>
      <w:r>
        <w:t>A fee tally and forward projection measured against the Board's approved budget for this workstream.</w:t>
      </w:r>
    </w:p>
    <w:p>
      <w:r>
        <w:t>That memo is the working document for Thursday's call; this memo summarizes its bottom line for Board purposes: the overlap analysis meaningfully narrows the incremental production burden, and the fee projection remains within the approved budget under the feasibility path currently favored. A call time to finalize scope and confirm the approach is being scheduled directly with Marguerite for Thursday.</w:t>
      </w:r>
    </w:p>
    <w:p>
      <w:pPr>
        <w:pStyle w:val="Heading2"/>
      </w:pPr>
      <w:r>
        <w:t>IV. Procedural Exposure Item Requiring Board Awareness</w:t>
      </w:r>
    </w:p>
    <w:p>
      <w:r>
        <w:t>One procedural point bears on exposure and should be understood before Thursday, though it is not for inclusion in anything filed or sent externally: the presiding judge's standing order requires a live meet-and-confer before any discovery motion will be entertained, and treats an email exchange as no conference at all. This requirement is not yet reflected in our internal matter file. We are addressing this internally and it does not currently affect the timeline above, but any motion practice on the production dispute must be preceded by an actual conference, not correspondence, or the motion risks being refused outright. I flag this for internal awareness only; it should not appear in Board materials that leave the room in writing.</w:t>
      </w:r>
    </w:p>
    <w:p>
      <w:pPr>
        <w:pStyle w:val="Heading2"/>
      </w:pPr>
      <w:r>
        <w:t>V. Other Related Closures Bearing on Team Capacity</w:t>
      </w:r>
    </w:p>
    <w:p>
      <w:r>
        <w:t>For completeness on team capacity and exposure allocation this week: the Brackley reserve review is closed based on Cecile's finalized coverage opinion, and Cecile has been authorized to release Dov to proceed on Coastal Meridian/Ravenna backup coverage. These are unrelated matters but affect the same senior review capacity supporting Sable Ridge and are noted here only for scheduling context.</w:t>
      </w:r>
    </w:p>
    <w:p>
      <w:pPr>
        <w:pStyle w:val="Heading2"/>
      </w:pPr>
      <w:r>
        <w:t>VI. Recommendation</w:t>
      </w:r>
    </w:p>
    <w:p>
      <w:r>
        <w:t>No change to overall exposure assessment is recommended at this time. The two remaining gating dependencies on the standing argument are on track for same-day resolution; the filing batch has been independently checked and cleared; and the production dispute remains within budget under the feasibility path outlined in the overlap-and-feasibility memo. I will confirm Thursday's call time with Marguerite directly and will bring both memoranda to the Board meeting.</w:t>
      </w:r>
    </w:p>
    <w:p>
      <w:r>
        <w:t>See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