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Closing Certification — Sable Ridge Matter</w:t>
      </w:r>
    </w:p>
    <w:p>
      <w:r>
        <w:t>The better view is that this matter is ready for closing. All required sign-offs — Thandiwe, Hyunwoo, Jamal, Lucien, and Rosalie — are confirmed as of this date, and the deliverables underlying those sign-offs have been reconciled against one another. This certification records the basis for closing and the disposition of the open items identified during final review.</w:t>
      </w:r>
    </w:p>
    <w:p>
      <w:pPr>
        <w:pStyle w:val="Heading2"/>
      </w:pPr>
      <w:r>
        <w:t>Sign-Off Record</w:t>
      </w:r>
    </w:p>
    <w:tbl>
      <w:tblPr>
        <w:tblW w:type="auto" w:w="0"/>
        <w:tblLook w:firstColumn="1" w:firstRow="1" w:lastColumn="0" w:lastRow="0" w:noHBand="0" w:noVBand="1" w:val="04A0"/>
      </w:tblPr>
      <w:tblGrid>
        <w:gridCol w:w="2160"/>
        <w:gridCol w:w="2160"/>
        <w:gridCol w:w="2160"/>
        <w:gridCol w:w="2160"/>
      </w:tblGrid>
      <w:tr>
        <w:tc>
          <w:tcPr>
            <w:tcW w:type="dxa" w:w="2160"/>
          </w:tcPr>
          <w:p>
            <w:r>
              <w:t>Reviewer</w:t>
            </w:r>
          </w:p>
        </w:tc>
        <w:tc>
          <w:tcPr>
            <w:tcW w:type="dxa" w:w="2160"/>
          </w:tcPr>
          <w:p>
            <w:r>
              <w:t>Area of Responsibility</w:t>
            </w:r>
          </w:p>
        </w:tc>
        <w:tc>
          <w:tcPr>
            <w:tcW w:type="dxa" w:w="2160"/>
          </w:tcPr>
          <w:p>
            <w:r>
              <w:t>Status</w:t>
            </w:r>
          </w:p>
        </w:tc>
        <w:tc>
          <w:tcPr>
            <w:tcW w:type="dxa" w:w="2160"/>
          </w:tcPr>
          <w:p>
            <w:r>
              <w:t>Basis for Confirmation</w:t>
            </w:r>
          </w:p>
        </w:tc>
      </w:tr>
      <w:tr>
        <w:tc>
          <w:tcPr>
            <w:tcW w:type="dxa" w:w="2160"/>
          </w:tcPr>
          <w:p>
            <w:r>
              <w:t>Thandiwe</w:t>
            </w:r>
          </w:p>
        </w:tc>
        <w:tc>
          <w:tcPr>
            <w:tcW w:type="dxa" w:w="2160"/>
          </w:tcPr>
          <w:p>
            <w:r>
              <w:t>Master deadline tracking</w:t>
            </w:r>
          </w:p>
        </w:tc>
        <w:tc>
          <w:tcPr>
            <w:tcW w:type="dxa" w:w="2160"/>
          </w:tcPr>
          <w:p>
            <w:r>
              <w:t>Confirmed</w:t>
            </w:r>
          </w:p>
        </w:tc>
        <w:tc>
          <w:tcPr>
            <w:tcW w:type="dxa" w:w="2160"/>
          </w:tcPr>
          <w:p>
            <w:r>
              <w:t>Master deadline figure verified with Lucien; tracking finalized with no further changes required</w:t>
            </w:r>
          </w:p>
        </w:tc>
      </w:tr>
      <w:tr>
        <w:tc>
          <w:tcPr>
            <w:tcW w:type="dxa" w:w="2160"/>
          </w:tcPr>
          <w:p>
            <w:r>
              <w:t>Hyunwoo</w:t>
            </w:r>
          </w:p>
        </w:tc>
        <w:tc>
          <w:tcPr>
            <w:tcW w:type="dxa" w:w="2160"/>
          </w:tcPr>
          <w:p>
            <w:r>
              <w:t>Cite-check and declaration pull, including Ex. 17</w:t>
            </w:r>
          </w:p>
        </w:tc>
        <w:tc>
          <w:tcPr>
            <w:tcW w:type="dxa" w:w="2160"/>
          </w:tcPr>
          <w:p>
            <w:r>
              <w:t>Confirmed</w:t>
            </w:r>
          </w:p>
        </w:tc>
        <w:tc>
          <w:tcPr>
            <w:tcW w:type="dxa" w:w="2160"/>
          </w:tcPr>
          <w:p>
            <w:r>
              <w:t>Cite-check/declaration pull complete; Ex. 17 resolution clarified as folded into existing declaration entries, not a separate exhibit</w:t>
            </w:r>
          </w:p>
        </w:tc>
      </w:tr>
      <w:tr>
        <w:tc>
          <w:tcPr>
            <w:tcW w:type="dxa" w:w="2160"/>
          </w:tcPr>
          <w:p>
            <w:r>
              <w:t>Jamal</w:t>
            </w:r>
          </w:p>
        </w:tc>
        <w:tc>
          <w:tcPr>
            <w:tcW w:type="dxa" w:w="2160"/>
          </w:tcPr>
          <w:p>
            <w:r>
              <w:t>Closing review</w:t>
            </w:r>
          </w:p>
        </w:tc>
        <w:tc>
          <w:tcPr>
            <w:tcW w:type="dxa" w:w="2160"/>
          </w:tcPr>
          <w:p>
            <w:r>
              <w:t>Confirmed</w:t>
            </w:r>
          </w:p>
        </w:tc>
        <w:tc>
          <w:tcPr>
            <w:tcW w:type="dxa" w:w="2160"/>
          </w:tcPr>
          <w:p>
            <w:r>
              <w:t>No outstanding items raised</w:t>
            </w:r>
          </w:p>
        </w:tc>
      </w:tr>
      <w:tr>
        <w:tc>
          <w:tcPr>
            <w:tcW w:type="dxa" w:w="2160"/>
          </w:tcPr>
          <w:p>
            <w:r>
              <w:t>Lucien</w:t>
            </w:r>
          </w:p>
        </w:tc>
        <w:tc>
          <w:tcPr>
            <w:tcW w:type="dxa" w:w="2160"/>
          </w:tcPr>
          <w:p>
            <w:r>
              <w:t>Overall matter coordination and memo drafting</w:t>
            </w:r>
          </w:p>
        </w:tc>
        <w:tc>
          <w:tcPr>
            <w:tcW w:type="dxa" w:w="2160"/>
          </w:tcPr>
          <w:p>
            <w:r>
              <w:t>Confirmed</w:t>
            </w:r>
          </w:p>
        </w:tc>
        <w:tc>
          <w:tcPr>
            <w:tcW w:type="dxa" w:w="2160"/>
          </w:tcPr>
          <w:p>
            <w:r>
              <w:t>Research memorandum current through Sections VI-VII; coordination of exhibit/witness list rebuild complete</w:t>
            </w:r>
          </w:p>
        </w:tc>
      </w:tr>
      <w:tr>
        <w:tc>
          <w:tcPr>
            <w:tcW w:type="dxa" w:w="2160"/>
          </w:tcPr>
          <w:p>
            <w:r>
              <w:t>Rosalie</w:t>
            </w:r>
          </w:p>
        </w:tc>
        <w:tc>
          <w:tcPr>
            <w:tcW w:type="dxa" w:w="2160"/>
          </w:tcPr>
          <w:p>
            <w:r>
              <w:t>Quality and consistency review</w:t>
            </w:r>
          </w:p>
        </w:tc>
        <w:tc>
          <w:tcPr>
            <w:tcW w:type="dxa" w:w="2160"/>
          </w:tcPr>
          <w:p>
            <w:r>
              <w:t>Confirmed</w:t>
            </w:r>
          </w:p>
        </w:tc>
        <w:tc>
          <w:tcPr>
            <w:tcW w:type="dxa" w:w="2160"/>
          </w:tcPr>
          <w:p>
            <w:r>
              <w:t>Advised of unrelated Cotswold Mutual inconsistency separately; confirmation for Sable Ridge closing is unaffected</w:t>
            </w:r>
          </w:p>
        </w:tc>
      </w:tr>
    </w:tbl>
    <w:p>
      <w:pPr>
        <w:pStyle w:val="Heading2"/>
      </w:pPr>
      <w:r>
        <w:t>Reconciliation of Exhibit and Witness List</w:t>
      </w:r>
    </w:p>
    <w:p>
      <w:r>
        <w:t>The witness and exhibit list was rebuilt from the underlying declarations and the completed cite-check pull. Hyunwoo's Ex. 17 timeline point was confirmed to have been rebuilt off the existing declarations rather than a standalone custodian declaration. Accordingly, no separate Ex. 17 exhibit entry was added; the point is captured within the existing declaration entries in the rebuilt list. Noor cross-checked the rebuild against Hyunwoo's confirmation, and no discrepancies remain.</w:t>
      </w:r>
    </w:p>
    <w:p>
      <w:pPr>
        <w:pStyle w:val="Heading2"/>
      </w:pPr>
      <w:r>
        <w:t>Items Noted and Carried Outside This Closing</w:t>
      </w:r>
    </w:p>
    <w:p>
      <w:pPr>
        <w:pStyle w:val="ListNumber"/>
      </w:pPr>
      <w:r>
        <w:t>A January-dated report inconsistency was identified in the unrelated Cotswold Mutual — Aldworth Professional Liability memorandum (the January-dated standard-of-care authority pull conflicts with the January cite-check status recorded elsewhere in that file). This has been flagged to Rosalie in writing and is being tracked for follow-up separately from this closing; it does not bear on the Sable Ridge matter or on any of the sign-offs above.</w:t>
      </w:r>
    </w:p>
    <w:p>
      <w:pPr>
        <w:pStyle w:val="ListNumber"/>
      </w:pPr>
      <w:r>
        <w:t>The Cotswold Mutual research memorandum remains open pending committee feedback and is not part of this closing record.</w:t>
      </w:r>
    </w:p>
    <w:p>
      <w:pPr>
        <w:pStyle w:val="Heading2"/>
      </w:pPr>
      <w:r>
        <w:t>Certification</w:t>
      </w:r>
    </w:p>
    <w:p>
      <w:r>
        <w:t>On the basis of the confirmations recorded above, the Sable Ridge matter is certified closed as of this date. This record, together with the underlying rebuilt witness and exhibit list, constitutes the closing file for the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