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Sable Ridge Driver Meal-Break Collective Action</w:t>
      </w:r>
    </w:p>
    <w:p>
      <w:pPr>
        <w:pStyle w:val="Heading2"/>
      </w:pPr>
      <w:r>
        <w:t>Defendant's First-Cut Responses to Plaintiffs' First Set of Requests for Production</w:t>
      </w:r>
    </w:p>
    <w:p>
      <w:r>
        <w:t>DRAFT — Attorney Work Product. Prepared for internal review. Not for service. This first cut reflects the general objections and placeholder response framework for use by the review team while document-by-document responses are finalized against the batch review trackers (BATCH-014 through BATCH-020).</w:t>
      </w:r>
    </w:p>
    <w:p>
      <w:pPr>
        <w:pStyle w:val="Heading2"/>
      </w:pPr>
      <w:r>
        <w:t>Preliminary Statement</w:t>
      </w:r>
    </w:p>
    <w:p>
      <w:r>
        <w:t>Defendant Sable Ridge Logistics, Inc. ('Defendant') submits these first-cut responses and objections to Plaintiffs' First Set of Requests for Production of Documents. Defendant's investigation and document review are ongoing. Defendant reserves the right to supplement, amend, or correct these responses as review of BATCH-016 through BATCH-020 continues, and specifically as the BATCH-017 staffing and reviewer-assignment issue, currently unresolved and escalated per the Open Issues tracker, is resolved. Hyunwoo and Bennett-Ashworth have confirmed the Section I Bates range and pincites referenced in the sequencing plan; those confirmed figures remain to be integrated into this draft once the specific numbers are transmitted in writing.</w:t>
      </w:r>
    </w:p>
    <w:p>
      <w:pPr>
        <w:pStyle w:val="Heading2"/>
      </w:pPr>
      <w:r>
        <w:t>General Objections</w:t>
      </w:r>
    </w:p>
    <w:p>
      <w:pPr>
        <w:pStyle w:val="ListNumber"/>
      </w:pPr>
      <w:r>
        <w:t>Defendant objects to each Request to the extent it seeks documents protected by the attorney-client privilege, the work-product doctrine, or any other applicable privilege or immunity. Any inadvertent production of privileged material shall not constitute a waiver.</w:t>
      </w:r>
    </w:p>
    <w:p>
      <w:pPr>
        <w:pStyle w:val="ListNumber"/>
      </w:pPr>
      <w:r>
        <w:t>Defendant objects to each Request to the extent it is overbroad, unduly burdensome, or not proportional to the needs of the case, considering the scope of the putative collective and the volume of driver time and payroll records at issue.</w:t>
      </w:r>
    </w:p>
    <w:p>
      <w:pPr>
        <w:pStyle w:val="ListNumber"/>
      </w:pPr>
      <w:r>
        <w:t>Defendant objects to each Request to the extent it seeks documents equally available to Plaintiffs or obtainable from third parties.</w:t>
      </w:r>
    </w:p>
    <w:p>
      <w:pPr>
        <w:pStyle w:val="ListNumber"/>
      </w:pPr>
      <w:r>
        <w:t>Defendant objects to the definitions of 'Meal Break Policy' and 'Driver' to the extent they purport to expand Defendant's discovery obligations beyond the scope of the conditionally certified collective.</w:t>
      </w:r>
    </w:p>
    <w:p>
      <w:pPr>
        <w:pStyle w:val="ListNumber"/>
      </w:pPr>
      <w:r>
        <w:t>Defendant's response to any Request is not, and shall not be construed as, an admission regarding the relevance, materiality, or admissibility of any document or category of documents.</w:t>
      </w:r>
    </w:p>
    <w:p>
      <w:pPr>
        <w:pStyle w:val="ListNumber"/>
      </w:pPr>
      <w:r>
        <w:t>These General Objections are incorporated into each specific response below, whether or not separately restated.</w:t>
      </w:r>
    </w:p>
    <w:p>
      <w:pPr>
        <w:pStyle w:val="Heading2"/>
      </w:pPr>
      <w:r>
        <w:t>Responses to Specific Requests (Placeholder Framework)</w:t>
      </w:r>
    </w:p>
    <w:tbl>
      <w:tblPr>
        <w:tblW w:type="auto" w:w="0"/>
        <w:tblLook w:firstColumn="1" w:firstRow="1" w:lastColumn="0" w:lastRow="0" w:noHBand="0" w:noVBand="1" w:val="04A0"/>
      </w:tblPr>
      <w:tblGrid>
        <w:gridCol w:w="2160"/>
        <w:gridCol w:w="2160"/>
        <w:gridCol w:w="2160"/>
        <w:gridCol w:w="2160"/>
      </w:tblGrid>
      <w:tr>
        <w:tc>
          <w:tcPr>
            <w:tcW w:type="dxa" w:w="2160"/>
          </w:tcPr>
          <w:p>
            <w:r>
              <w:t>Request No.</w:t>
            </w:r>
          </w:p>
        </w:tc>
        <w:tc>
          <w:tcPr>
            <w:tcW w:type="dxa" w:w="2160"/>
          </w:tcPr>
          <w:p>
            <w:r>
              <w:t>Category</w:t>
            </w:r>
          </w:p>
        </w:tc>
        <w:tc>
          <w:tcPr>
            <w:tcW w:type="dxa" w:w="2160"/>
          </w:tcPr>
          <w:p>
            <w:r>
              <w:t>Response Status</w:t>
            </w:r>
          </w:p>
        </w:tc>
        <w:tc>
          <w:tcPr>
            <w:tcW w:type="dxa" w:w="2160"/>
          </w:tcPr>
          <w:p>
            <w:r>
              <w:t>Basis / Notes</w:t>
            </w:r>
          </w:p>
        </w:tc>
      </w:tr>
      <w:tr>
        <w:tc>
          <w:tcPr>
            <w:tcW w:type="dxa" w:w="2160"/>
          </w:tcPr>
          <w:p>
            <w:r>
              <w:t>RFP No. 1</w:t>
            </w:r>
          </w:p>
        </w:tc>
        <w:tc>
          <w:tcPr>
            <w:tcW w:type="dxa" w:w="2160"/>
          </w:tcPr>
          <w:p>
            <w:r>
              <w:t>Meal-break policies and handbooks, all versions</w:t>
            </w:r>
          </w:p>
        </w:tc>
        <w:tc>
          <w:tcPr>
            <w:tcW w:type="dxa" w:w="2160"/>
          </w:tcPr>
          <w:p>
            <w:r>
              <w:t>Responsive documents will be produced</w:t>
            </w:r>
          </w:p>
        </w:tc>
        <w:tc>
          <w:tcPr>
            <w:tcW w:type="dxa" w:w="2160"/>
          </w:tcPr>
          <w:p>
            <w:r>
              <w:t>Corresponds to BATCH-014/015 population, review final</w:t>
            </w:r>
          </w:p>
        </w:tc>
      </w:tr>
      <w:tr>
        <w:tc>
          <w:tcPr>
            <w:tcW w:type="dxa" w:w="2160"/>
          </w:tcPr>
          <w:p>
            <w:r>
              <w:t>RFP No. 2</w:t>
            </w:r>
          </w:p>
        </w:tc>
        <w:tc>
          <w:tcPr>
            <w:tcW w:type="dxa" w:w="2160"/>
          </w:tcPr>
          <w:p>
            <w:r>
              <w:t>Time and attendance records for opt-in drivers</w:t>
            </w:r>
          </w:p>
        </w:tc>
        <w:tc>
          <w:tcPr>
            <w:tcW w:type="dxa" w:w="2160"/>
          </w:tcPr>
          <w:p>
            <w:r>
              <w:t>Responsive documents will be produced, subject to objections</w:t>
            </w:r>
          </w:p>
        </w:tc>
        <w:tc>
          <w:tcPr>
            <w:tcW w:type="dxa" w:w="2160"/>
          </w:tcPr>
          <w:p>
            <w:r>
              <w:t>Scope tied to conditional certification order; volume issue flagged for burden objection</w:t>
            </w:r>
          </w:p>
        </w:tc>
      </w:tr>
      <w:tr>
        <w:tc>
          <w:tcPr>
            <w:tcW w:type="dxa" w:w="2160"/>
          </w:tcPr>
          <w:p>
            <w:r>
              <w:t>RFP No. 3</w:t>
            </w:r>
          </w:p>
        </w:tc>
        <w:tc>
          <w:tcPr>
            <w:tcW w:type="dxa" w:w="2160"/>
          </w:tcPr>
          <w:p>
            <w:r>
              <w:t>Internal communications re: meal-break compliance</w:t>
            </w:r>
          </w:p>
        </w:tc>
        <w:tc>
          <w:tcPr>
            <w:tcW w:type="dxa" w:w="2160"/>
          </w:tcPr>
          <w:p>
            <w:r>
              <w:t>Under review</w:t>
            </w:r>
          </w:p>
        </w:tc>
        <w:tc>
          <w:tcPr>
            <w:tcW w:type="dxa" w:w="2160"/>
          </w:tcPr>
          <w:p>
            <w:r>
              <w:t>Subject to BATCH-016 privilege re-review; re-review issue closed per Rosalie Duchamp's confirmation</w:t>
            </w:r>
          </w:p>
        </w:tc>
      </w:tr>
      <w:tr>
        <w:tc>
          <w:tcPr>
            <w:tcW w:type="dxa" w:w="2160"/>
          </w:tcPr>
          <w:p>
            <w:r>
              <w:t>RFP No. 4</w:t>
            </w:r>
          </w:p>
        </w:tc>
        <w:tc>
          <w:tcPr>
            <w:tcW w:type="dxa" w:w="2160"/>
          </w:tcPr>
          <w:p>
            <w:r>
              <w:t>Payroll deduction records for missed meal breaks</w:t>
            </w:r>
          </w:p>
        </w:tc>
        <w:tc>
          <w:tcPr>
            <w:tcW w:type="dxa" w:w="2160"/>
          </w:tcPr>
          <w:p>
            <w:r>
              <w:t>Responsive documents will be produced</w:t>
            </w:r>
          </w:p>
        </w:tc>
        <w:tc>
          <w:tcPr>
            <w:tcW w:type="dxa" w:w="2160"/>
          </w:tcPr>
          <w:p>
            <w:r>
              <w:t>Corresponds to BATCH-018 population, review in progress</w:t>
            </w:r>
          </w:p>
        </w:tc>
      </w:tr>
      <w:tr>
        <w:tc>
          <w:tcPr>
            <w:tcW w:type="dxa" w:w="2160"/>
          </w:tcPr>
          <w:p>
            <w:r>
              <w:t>RFP No. 5</w:t>
            </w:r>
          </w:p>
        </w:tc>
        <w:tc>
          <w:tcPr>
            <w:tcW w:type="dxa" w:w="2160"/>
          </w:tcPr>
          <w:p>
            <w:r>
              <w:t>Training materials for dispatch/supervisors on meal-break policy</w:t>
            </w:r>
          </w:p>
        </w:tc>
        <w:tc>
          <w:tcPr>
            <w:tcW w:type="dxa" w:w="2160"/>
          </w:tcPr>
          <w:p>
            <w:r>
              <w:t>Under review</w:t>
            </w:r>
          </w:p>
        </w:tc>
        <w:tc>
          <w:tcPr>
            <w:tcW w:type="dxa" w:w="2160"/>
          </w:tcPr>
          <w:p>
            <w:r>
              <w:t>Population subject to BATCH-020 sampling; sampling status updated per team discussion follow-up</w:t>
            </w:r>
          </w:p>
        </w:tc>
      </w:tr>
      <w:tr>
        <w:tc>
          <w:tcPr>
            <w:tcW w:type="dxa" w:w="2160"/>
          </w:tcPr>
          <w:p>
            <w:r>
              <w:t>RFP No. 6</w:t>
            </w:r>
          </w:p>
        </w:tc>
        <w:tc>
          <w:tcPr>
            <w:tcW w:type="dxa" w:w="2160"/>
          </w:tcPr>
          <w:p>
            <w:r>
              <w:t>Complaints or grievances re: meal-break denial</w:t>
            </w:r>
          </w:p>
        </w:tc>
        <w:tc>
          <w:tcPr>
            <w:tcW w:type="dxa" w:w="2160"/>
          </w:tcPr>
          <w:p>
            <w:r>
              <w:t>Under review</w:t>
            </w:r>
          </w:p>
        </w:tc>
        <w:tc>
          <w:tcPr>
            <w:tcW w:type="dxa" w:w="2160"/>
          </w:tcPr>
          <w:p>
            <w:r>
              <w:t>Assigned to BATCH-017 population; reviewer assignment and staffing remain unresolved and escalated</w:t>
            </w:r>
          </w:p>
        </w:tc>
      </w:tr>
    </w:tbl>
    <w:p>
      <w:pPr>
        <w:pStyle w:val="Heading2"/>
      </w:pPr>
      <w:r>
        <w:t>Open Items Before This Draft Can Move Past First Cut</w:t>
      </w:r>
    </w:p>
    <w:p>
      <w:pPr>
        <w:pStyle w:val="ListBullet"/>
      </w:pPr>
      <w:r>
        <w:t>BATCH-017 reviewer assignment and staffing remain unresolved and escalated; RFP No. 6 response cannot be finalized until that batch is staffed and reviewed.</w:t>
      </w:r>
    </w:p>
    <w:p>
      <w:pPr>
        <w:pStyle w:val="ListBullet"/>
      </w:pPr>
      <w:r>
        <w:t>BATCH-018 and BATCH-020 review is in progress; RFP Nos. 4 and 5 responses are placeholders pending completion.</w:t>
      </w:r>
    </w:p>
    <w:p>
      <w:pPr>
        <w:pStyle w:val="ListBullet"/>
      </w:pPr>
      <w:r>
        <w:t>BATCH-016 privilege re-review is closed (Rosalie Duchamp's confirmation received); privilege log entries for RFP No. 3 documents should be finalized against that closed batch before service.</w:t>
      </w:r>
    </w:p>
    <w:p>
      <w:pPr>
        <w:pStyle w:val="ListBullet"/>
      </w:pPr>
      <w:r>
        <w:t>This may be nothing, but although Hyunwoo and Bennett-Ashworth have now confirmed the Section I Bates range and pincites referenced in the sequencing plan, I have not yet received the specific range/pincite numbers in writing, so I have not inserted them into this draft to avoid citing anything I can't verify against a written source. Flagging so the confirmed figures can be sent over for integration once available.</w:t>
      </w:r>
    </w:p>
    <w:p>
      <w:pPr>
        <w:pStyle w:val="ListBullet"/>
      </w:pPr>
      <w:r>
        <w:t>This draft has not been reviewed by supervising attorney; no response herein should be treated as final or served.</w:t>
      </w:r>
    </w:p>
    <w:p>
      <w:pPr>
        <w:pStyle w:val="ListBullet"/>
      </w:pPr>
      <w:r>
        <w:t>Sign-off (N. Haddad): Verified this draft's filing path/name matches the correct matter/folder naming convention, consistent with the housekeeping check flagged and confirmed in doc-000242. No path or naming issue found as of this review; no further action needed on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