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Sable Ridge Driver Meal-Break Collective Action</w:t>
      </w:r>
    </w:p>
    <w:p>
      <w:r>
        <w:t>From: Hyun-woo Bae, Senior Associate, Litigation</w:t>
      </w:r>
    </w:p>
    <w:p>
      <w:r>
        <w:t>Re: Verification of Reply Brief Filing Status</w:t>
      </w:r>
    </w:p>
    <w:p>
      <w:pPr>
        <w:pStyle w:val="Heading2"/>
      </w:pPr>
      <w:r>
        <w:t>Summary</w:t>
      </w:r>
    </w:p>
    <w:p>
      <w:pPr>
        <w:pStyle w:val="ListNumber"/>
      </w:pPr>
      <w:r>
        <w:t>The reply brief in support of Sable Ridge's motion has been confirmed as filed on the docket; this memo records the verification and closes out today's docket-call action item on that point.</w:t>
      </w:r>
    </w:p>
    <w:p>
      <w:pPr>
        <w:pStyle w:val="ListNumber"/>
      </w:pPr>
      <w:r>
        <w:t>No further action is required on the reply brief itself. Open items remain on the Ardmore estoppel escalation and on Samir's unresponsiveness, both tracked separately.</w:t>
      </w:r>
    </w:p>
    <w:p>
      <w:pPr>
        <w:pStyle w:val="Heading2"/>
      </w:pPr>
      <w:r>
        <w:t>1. Filing Verification</w:t>
      </w:r>
    </w:p>
    <w:p>
      <w:r>
        <w:t>Per today's docket call, I confirmed via the court's electronic filing system that the reply brief in support of Sable Ridge's motion was accepted and entered on the docket. The filing reflects the final version circulated internally, with no clerk rejections or deficiency notices outstanding as of this writing. I have retained a copy of the docket entry confirmation for the file.</w:t>
      </w:r>
    </w:p>
    <w:p>
      <w:pPr>
        <w:pStyle w:val="Heading2"/>
      </w:pPr>
      <w:r>
        <w:t>2. Status Going Forward</w:t>
      </w:r>
    </w:p>
    <w:p>
      <w:r>
        <w:t>With the reply brief now confirmed filed, this closes the item that had been carried on the daily docket-call notes without an explicit action for several consecutive days. No response from opposing counsel is due until the court sets argument or issues a ruling; I will monitor the docket for either and will circulate promptly if either occurs. Nothing else on this engagement requires escalation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