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III. Choice-of-Law Analysis</w:t>
      </w:r>
    </w:p>
    <w:p>
      <w:r>
        <w:t>This section follows completion of source verification and the exhibit cross-check reflected in the current record (transcript open with the Bates range confirmed pending integration, and the witness/exhibit list closed). It builds on Sections I and II (Background; Sources and Materials Reviewed) and addresses which state's law governs the wage-and-hour and harassment-related claims at issue in the Devane matter, consistent with the agreed flag-only scope for today's work.</w:t>
      </w:r>
    </w:p>
    <w:p>
      <w:pPr>
        <w:pStyle w:val="Heading2"/>
      </w:pPr>
      <w:r>
        <w:t>A. Framing the Question</w:t>
      </w:r>
    </w:p>
    <w:p>
      <w:r>
        <w:t>Sable Ridge operates in more than one jurisdiction, and the employees whose claims are implicated performed work in, and were supervised from, different states during the relevant period. The choice-of-law question therefore arises in two related but distinct contexts: (1) which state's substantive law governs the wage-and-hour claims (overtime exemption classification, rounding practices), and (2) which state's law and administrative framework governs the harassment complaint and related investigation obligations. We address each in turn below, and flag where the two analyses diverge.</w:t>
      </w:r>
    </w:p>
    <w:p>
      <w:pPr>
        <w:pStyle w:val="Heading2"/>
      </w:pPr>
      <w:r>
        <w:t>B. Wage-and-Hour Claims</w:t>
      </w:r>
    </w:p>
    <w:p>
      <w:r>
        <w:t>The exempt-classification comparison analysis (doc-000165) resolved the rounding-practice point previously left open; that resolution is incorporated here as a factual predicate rather than restated in full. For choice-of-law purposes, the rounding-practice and exemption issues both turn on the law of the state where the affected employees principally performed their work, not the state of the entity's incorporation or headquarters. On the current record, this points to application of the wage-and-hour law of the employees' primary work-state.</w:t>
      </w:r>
    </w:p>
    <w:p>
      <w:r>
        <w:t>For the file: the employment-agreement review has been completed. No individual employment agreement reviewed contains an express choice-of-law provision that would displace the default work-state analysis. Accordingly, the wage-and-hour conclusion below no longer carries an open confirmation item on this point.</w:t>
      </w:r>
    </w:p>
    <w:p>
      <w:pPr>
        <w:pStyle w:val="Heading2"/>
      </w:pPr>
      <w:r>
        <w:t>C. Harassment Complaint and Investigation Obligations</w:t>
      </w:r>
    </w:p>
    <w:p>
      <w:r>
        <w:t>The harassment allegations (the Devane investigation, including the Abioye witness account) implicate the complaint-handling and investigation obligations of the state where the conduct is alleged to have occurred and where the complaining employee is employed. This may differ from the state governing the wage-and-hour claims discussed above. Where the two states impose different documentation or reporting timelines, the more protective or more specific state standard should govern the firm's guidance to Harriet Lindqvist on documentation approach and Board reporting, consistent with the interim guidance already provided.</w:t>
      </w:r>
    </w:p>
    <w:p>
      <w:r>
        <w:t>For the file: the witness name correction (Abioye, not Alcaraz) has been propagated through doc-000245 (Section II table, Allegation 1 account, Section V credibility observations). Jamal has now confirmed that the same correction is reflected in the underlying interview summary and in the transcript references, not only the memo. This closes the propagation-check item; the choice-of-law analysis above may rely on the witness's account as summarized in those materials without further qualification on this point.</w:t>
      </w:r>
    </w:p>
    <w:p>
      <w:pPr>
        <w:pStyle w:val="Heading2"/>
      </w:pPr>
      <w:r>
        <w:t>D. Preliminary Conclusion</w:t>
      </w:r>
    </w:p>
    <w:p>
      <w:pPr>
        <w:pStyle w:val="ListNumber"/>
      </w:pPr>
      <w:r>
        <w:t>Wage-and-hour claims: apply the law of the employees' primary work-state. The employment-agreement review is complete and identified no conflicting choice-of-law provision.</w:t>
      </w:r>
    </w:p>
    <w:p>
      <w:pPr>
        <w:pStyle w:val="ListNumber"/>
      </w:pPr>
      <w:r>
        <w:t>Harassment complaint: apply the law and administrative framework of the state where the alleged conduct occurred and where the complaining employee works, pending resolution of any conflict between that state's requirements and Board-reporting practice already discussed with Harriet.</w:t>
      </w:r>
    </w:p>
    <w:p>
      <w:pPr>
        <w:pStyle w:val="ListNumber"/>
      </w:pPr>
      <w:r>
        <w:t>This section remains a draft pending final integration of the confirmed Bates range into the transcript, but the Abioye/Devane propagation check and the employment-agreement choice-of-law review are now both resolved and no longer outstanding.</w:t>
      </w:r>
    </w:p>
    <w:p>
      <w:pPr>
        <w:pStyle w:val="Heading2"/>
      </w:pPr>
      <w:r>
        <w:t>E. Outstanding Items</w:t>
      </w:r>
    </w:p>
    <w:tbl>
      <w:tblPr>
        <w:tblW w:type="auto" w:w="0"/>
        <w:tblLook w:firstColumn="1" w:firstRow="1" w:lastColumn="0" w:lastRow="0" w:noHBand="0" w:noVBand="1" w:val="04A0"/>
      </w:tblPr>
      <w:tblGrid>
        <w:gridCol w:w="2880"/>
        <w:gridCol w:w="2880"/>
        <w:gridCol w:w="2880"/>
      </w:tblGrid>
      <w:tr>
        <w:tc>
          <w:tcPr>
            <w:tcW w:type="dxa" w:w="2880"/>
          </w:tcPr>
          <w:p>
            <w:r>
              <w:t>Item</w:t>
            </w:r>
          </w:p>
        </w:tc>
        <w:tc>
          <w:tcPr>
            <w:tcW w:type="dxa" w:w="2880"/>
          </w:tcPr>
          <w:p>
            <w:r>
              <w:t>Owner</w:t>
            </w:r>
          </w:p>
        </w:tc>
        <w:tc>
          <w:tcPr>
            <w:tcW w:type="dxa" w:w="2880"/>
          </w:tcPr>
          <w:p>
            <w:r>
              <w:t>Status</w:t>
            </w:r>
          </w:p>
        </w:tc>
      </w:tr>
      <w:tr>
        <w:tc>
          <w:tcPr>
            <w:tcW w:type="dxa" w:w="2880"/>
          </w:tcPr>
          <w:p>
            <w:r>
              <w:t>Confirm Abioye/Devane name propagation in interview summary and transcript references</w:t>
            </w:r>
          </w:p>
        </w:tc>
        <w:tc>
          <w:tcPr>
            <w:tcW w:type="dxa" w:w="2880"/>
          </w:tcPr>
          <w:p>
            <w:r>
              <w:t>Jamal</w:t>
            </w:r>
          </w:p>
        </w:tc>
        <w:tc>
          <w:tcPr>
            <w:tcW w:type="dxa" w:w="2880"/>
          </w:tcPr>
          <w:p>
            <w:r>
              <w:t>Resolved — confirmed present in both</w:t>
            </w:r>
          </w:p>
        </w:tc>
      </w:tr>
      <w:tr>
        <w:tc>
          <w:tcPr>
            <w:tcW w:type="dxa" w:w="2880"/>
          </w:tcPr>
          <w:p>
            <w:r>
              <w:t>Verify employment agreements for conflicting choice-of-law clauses</w:t>
            </w:r>
          </w:p>
        </w:tc>
        <w:tc>
          <w:tcPr>
            <w:tcW w:type="dxa" w:w="2880"/>
          </w:tcPr>
          <w:p>
            <w:r>
              <w:t>P. Kovacs</w:t>
            </w:r>
          </w:p>
        </w:tc>
        <w:tc>
          <w:tcPr>
            <w:tcW w:type="dxa" w:w="2880"/>
          </w:tcPr>
          <w:p>
            <w:r>
              <w:t>Resolved — no conflicting clauses found</w:t>
            </w:r>
          </w:p>
        </w:tc>
      </w:tr>
      <w:tr>
        <w:tc>
          <w:tcPr>
            <w:tcW w:type="dxa" w:w="2880"/>
          </w:tcPr>
          <w:p>
            <w:r>
              <w:t>Bates range integration into transcript</w:t>
            </w:r>
          </w:p>
        </w:tc>
        <w:tc>
          <w:tcPr>
            <w:tcW w:type="dxa" w:w="2880"/>
          </w:tcPr>
          <w:p>
            <w:r>
              <w:t>TBD</w:t>
            </w:r>
          </w:p>
        </w:tc>
        <w:tc>
          <w:tcPr>
            <w:tcW w:type="dxa" w:w="2880"/>
          </w:tcPr>
          <w:p>
            <w:r>
              <w:t>Pending, per today's EOD</w:t>
            </w:r>
          </w:p>
        </w:tc>
      </w:tr>
      <w:tr>
        <w:tc>
          <w:tcPr>
            <w:tcW w:type="dxa" w:w="2880"/>
          </w:tcPr>
          <w:p>
            <w:r>
              <w:t>Rounding-practice analysis (exempt-classification memo)</w:t>
            </w:r>
          </w:p>
        </w:tc>
        <w:tc>
          <w:tcPr>
            <w:tcW w:type="dxa" w:w="2880"/>
          </w:tcPr>
          <w:p>
            <w:r>
              <w:t>P. Kovacs / Jamal</w:t>
            </w:r>
          </w:p>
        </w:tc>
        <w:tc>
          <w:tcPr>
            <w:tcW w:type="dxa" w:w="2880"/>
          </w:tcPr>
          <w:p>
            <w:r>
              <w:t>Resolved — reflected in doc-000165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