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Deposition Summary Prep — Second-Chair Materials</w:t>
      </w:r>
    </w:p>
    <w:p>
      <w:r>
        <w:t>Matter: Sable Ridge — Driver Meal-Break Collective Action. Prepared by Hyun-woo Bae for the 12:30-13:30 prep block ahead of upcoming depositions. This memo consolidates status on custodian coverage, privilege log posture, and the two open threads (docket-call pattern; Ardmore chain-of-access) so the partner and second-chair team have current footing before witness prep begins.</w:t>
      </w:r>
    </w:p>
    <w:p>
      <w:pPr>
        <w:pStyle w:val="Heading2"/>
      </w:pPr>
      <w:r>
        <w:t>1. Summary</w:t>
      </w:r>
    </w:p>
    <w:p>
      <w:pPr>
        <w:pStyle w:val="ListNumber"/>
      </w:pPr>
      <w:r>
        <w:t>Section I Bates ranges and pincites are closed and re-verified; the Ardmore correction has no impact on Section I. Cleared for use in Noor's discovery response draft.</w:t>
      </w:r>
    </w:p>
    <w:p>
      <w:pPr>
        <w:pStyle w:val="ListNumber"/>
      </w:pPr>
      <w:r>
        <w:t>Ardmore chain-of-access routing question is resolved: Samir is the confirmed owner, per the Bennett/Rosalie/Lucien chat thread. This is separate from the still-open Ardmore ownership question (Ingrid/Samir), which remains unresolved per the Thandiwe/Lucien exchange.</w:t>
      </w:r>
    </w:p>
    <w:p>
      <w:pPr>
        <w:pStyle w:val="ListNumber"/>
      </w:pPr>
      <w:r>
        <w:t>This cycle's 10:00-11:00 review sweep identified no new custodian-interview privilege log entries requiring addition. No changes made to the Privilege Log sheet.</w:t>
      </w:r>
    </w:p>
    <w:p>
      <w:pPr>
        <w:pStyle w:val="ListNumber"/>
      </w:pPr>
      <w:r>
        <w:t>Docket-call pattern on the sweep list is being tracked independent of Noor's batch results, per agreement with Rosalie. Noor's redundancy observation has been tied to this same pattern and both are being folded into Lucien's 14:00 escalation.</w:t>
      </w:r>
    </w:p>
    <w:p>
      <w:pPr>
        <w:pStyle w:val="ListNumber"/>
      </w:pPr>
      <w:r>
        <w:t>Open loop on whether Lucien raised the consolidation point at yesterday's 14:00 call is now closed — confirmed raised.</w:t>
      </w:r>
    </w:p>
    <w:p>
      <w:pPr>
        <w:pStyle w:val="ListNumber"/>
      </w:pPr>
      <w:r>
        <w:t>Remaining open item for partner attention: the docket-call pattern flagged above.</w:t>
      </w:r>
    </w:p>
    <w:p>
      <w:pPr>
        <w:pStyle w:val="Heading2"/>
      </w:pPr>
      <w:r>
        <w:t>2. Custodian Coverage for Upcoming Depositions</w:t>
      </w:r>
    </w:p>
    <w:p>
      <w:r>
        <w:t>The following custodians are in scope for the current deposition round. Interview summaries and document sets have been cross-checked against the review tracker; no gaps identified as of this pass.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Custodian</w:t>
            </w:r>
          </w:p>
        </w:tc>
        <w:tc>
          <w:tcPr>
            <w:tcW w:type="dxa" w:w="1728"/>
          </w:tcPr>
          <w:p>
            <w:r>
              <w:t>Role</w:t>
            </w:r>
          </w:p>
        </w:tc>
        <w:tc>
          <w:tcPr>
            <w:tcW w:type="dxa" w:w="1728"/>
          </w:tcPr>
          <w:p>
            <w:r>
              <w:t>Interview Status</w:t>
            </w:r>
          </w:p>
        </w:tc>
        <w:tc>
          <w:tcPr>
            <w:tcW w:type="dxa" w:w="1728"/>
          </w:tcPr>
          <w:p>
            <w:r>
              <w:t>Doc Set Status</w:t>
            </w:r>
          </w:p>
        </w:tc>
        <w:tc>
          <w:tcPr>
            <w:tcW w:type="dxa" w:w="1728"/>
          </w:tcPr>
          <w:p>
            <w:r>
              <w:t>Notes</w:t>
            </w:r>
          </w:p>
        </w:tc>
      </w:tr>
      <w:tr>
        <w:tc>
          <w:tcPr>
            <w:tcW w:type="dxa" w:w="1728"/>
          </w:tcPr>
          <w:p>
            <w:r>
              <w:t>Samir</w:t>
            </w:r>
          </w:p>
        </w:tc>
        <w:tc>
          <w:tcPr>
            <w:tcW w:type="dxa" w:w="1728"/>
          </w:tcPr>
          <w:p>
            <w:r>
              <w:t>Chain-of-access owner (Ardmore)</w:t>
            </w:r>
          </w:p>
        </w:tc>
        <w:tc>
          <w:tcPr>
            <w:tcW w:type="dxa" w:w="1728"/>
          </w:tcPr>
          <w:p>
            <w:r>
              <w:t>Completed</w:t>
            </w:r>
          </w:p>
        </w:tc>
        <w:tc>
          <w:tcPr>
            <w:tcW w:type="dxa" w:w="1728"/>
          </w:tcPr>
          <w:p>
            <w:r>
              <w:t>Reviewed</w:t>
            </w:r>
          </w:p>
        </w:tc>
        <w:tc>
          <w:tcPr>
            <w:tcW w:type="dxa" w:w="1728"/>
          </w:tcPr>
          <w:p>
            <w:r>
              <w:t>Confirmed owner per Bennett/Rosalie/Lucien thread; deposition prep should cover routing history</w:t>
            </w:r>
          </w:p>
        </w:tc>
      </w:tr>
      <w:tr>
        <w:tc>
          <w:tcPr>
            <w:tcW w:type="dxa" w:w="1728"/>
          </w:tcPr>
          <w:p>
            <w:r>
              <w:t>Ingrid</w:t>
            </w:r>
          </w:p>
        </w:tc>
        <w:tc>
          <w:tcPr>
            <w:tcW w:type="dxa" w:w="1728"/>
          </w:tcPr>
          <w:p>
            <w:r>
              <w:t>Disputed Ardmore ownership party</w:t>
            </w:r>
          </w:p>
        </w:tc>
        <w:tc>
          <w:tcPr>
            <w:tcW w:type="dxa" w:w="1728"/>
          </w:tcPr>
          <w:p>
            <w:r>
              <w:t>Completed</w:t>
            </w:r>
          </w:p>
        </w:tc>
        <w:tc>
          <w:tcPr>
            <w:tcW w:type="dxa" w:w="1728"/>
          </w:tcPr>
          <w:p>
            <w:r>
              <w:t>Reviewed</w:t>
            </w:r>
          </w:p>
        </w:tc>
        <w:tc>
          <w:tcPr>
            <w:tcW w:type="dxa" w:w="1728"/>
          </w:tcPr>
          <w:p>
            <w:r>
              <w:t>Ownership status unresolved (Thandiwe/Lucien) — flag for careful questioning, do not assume resolved</w:t>
            </w:r>
          </w:p>
        </w:tc>
      </w:tr>
      <w:tr>
        <w:tc>
          <w:tcPr>
            <w:tcW w:type="dxa" w:w="1728"/>
          </w:tcPr>
          <w:p>
            <w:r>
              <w:t>Rosalie</w:t>
            </w:r>
          </w:p>
        </w:tc>
        <w:tc>
          <w:tcPr>
            <w:tcW w:type="dxa" w:w="1728"/>
          </w:tcPr>
          <w:p>
            <w:r>
              <w:t>Docket-call coordination</w:t>
            </w:r>
          </w:p>
        </w:tc>
        <w:tc>
          <w:tcPr>
            <w:tcW w:type="dxa" w:w="1728"/>
          </w:tcPr>
          <w:p>
            <w:r>
              <w:t>Completed</w:t>
            </w:r>
          </w:p>
        </w:tc>
        <w:tc>
          <w:tcPr>
            <w:tcW w:type="dxa" w:w="1728"/>
          </w:tcPr>
          <w:p>
            <w:r>
              <w:t>Reviewed</w:t>
            </w:r>
          </w:p>
        </w:tc>
        <w:tc>
          <w:tcPr>
            <w:tcW w:type="dxa" w:w="1728"/>
          </w:tcPr>
          <w:p>
            <w:r>
              <w:t>Docket-call pattern tracked independently of Noor's batch results per agreement</w:t>
            </w:r>
          </w:p>
        </w:tc>
      </w:tr>
      <w:tr>
        <w:tc>
          <w:tcPr>
            <w:tcW w:type="dxa" w:w="1728"/>
          </w:tcPr>
          <w:p>
            <w:r>
              <w:t>Noor</w:t>
            </w:r>
          </w:p>
        </w:tc>
        <w:tc>
          <w:tcPr>
            <w:tcW w:type="dxa" w:w="1728"/>
          </w:tcPr>
          <w:p>
            <w:r>
              <w:t>Batch review / discovery response</w:t>
            </w:r>
          </w:p>
        </w:tc>
        <w:tc>
          <w:tcPr>
            <w:tcW w:type="dxa" w:w="1728"/>
          </w:tcPr>
          <w:p>
            <w:r>
              <w:t>N/A (attorney, not custodian)</w:t>
            </w:r>
          </w:p>
        </w:tc>
        <w:tc>
          <w:tcPr>
            <w:tcW w:type="dxa" w:w="1728"/>
          </w:tcPr>
          <w:p>
            <w:r>
              <w:t>N/A</w:t>
            </w:r>
          </w:p>
        </w:tc>
        <w:tc>
          <w:tcPr>
            <w:tcW w:type="dxa" w:w="1728"/>
          </w:tcPr>
          <w:p>
            <w:r>
              <w:t>Redundancy observation tied to docket-call pattern for 14:00 escalation</w:t>
            </w:r>
          </w:p>
        </w:tc>
      </w:tr>
    </w:tbl>
    <w:p>
      <w:pPr>
        <w:pStyle w:val="Heading2"/>
      </w:pPr>
      <w:r>
        <w:t>3. Privilege Log Status</w:t>
      </w:r>
    </w:p>
    <w:p>
      <w:r>
        <w:t>No new custodian-interview privilege log entries were identified during this cycle's 10:00-11:00 review sweep, consistent with prior weekly maintenance checks. The Privilege Log sheet is unchanged; existing rows preserved. This should be flagged to the depositions team as current as of this prep session, not stale.</w:t>
      </w:r>
    </w:p>
    <w:p>
      <w:pPr>
        <w:pStyle w:val="Heading2"/>
      </w:pPr>
      <w:r>
        <w:t>4. Open Issues Carried Into Prep</w:t>
      </w:r>
    </w:p>
    <w:p>
      <w:pPr>
        <w:pStyle w:val="ListNumber"/>
      </w:pPr>
      <w:r>
        <w:t>Ardmore ownership dispute (Ingrid/Samir) — unresolved. Do not characterize ownership as settled in any deposition line of questioning; chain-of-access routing (Samir) is a separate, closed question.</w:t>
      </w:r>
    </w:p>
    <w:p>
      <w:pPr>
        <w:pStyle w:val="ListNumber"/>
      </w:pPr>
      <w:r>
        <w:t>Docket-call pattern — independent of Noor's batch results per Rosalie agreement; slated for Lucien's 14:00 escalation alongside Noor's redundancy observation.</w:t>
      </w:r>
    </w:p>
    <w:p>
      <w:pPr>
        <w:pStyle w:val="ListNumber"/>
      </w:pPr>
      <w:r>
        <w:t>Cotswold committee memo sign-off stall — raised by Lucien; no visibility yet into the specific blocker. Not part of this matter but noted here as a pending ask so it isn't lost during deposition crunch.</w:t>
      </w:r>
    </w:p>
    <w:p>
      <w:pPr>
        <w:pStyle w:val="Heading2"/>
      </w:pPr>
      <w:r>
        <w:t>5. Action Items Before Depositions Resume</w:t>
      </w:r>
    </w:p>
    <w:p>
      <w:pPr>
        <w:pStyle w:val="ListNumber"/>
      </w:pPr>
      <w:r>
        <w:t>Confirm Section I Bates/pincite package is the version handed to Noor for the discovery response draft.</w:t>
      </w:r>
    </w:p>
    <w:p>
      <w:pPr>
        <w:pStyle w:val="ListNumber"/>
      </w:pPr>
      <w:r>
        <w:t>Prepare Samir-specific outline covering chain-of-access routing history, referencing resolved status.</w:t>
      </w:r>
    </w:p>
    <w:p>
      <w:pPr>
        <w:pStyle w:val="ListNumber"/>
      </w:pPr>
      <w:r>
        <w:t>Prepare Ingrid-specific outline flagging ownership as open; avoid leading questions assuming resolution.</w:t>
      </w:r>
    </w:p>
    <w:p>
      <w:pPr>
        <w:pStyle w:val="ListNumber"/>
      </w:pPr>
      <w:r>
        <w:t>Fold docket-call pattern and Noor's redundancy point into materials for Lucien's 14:00 escalation.</w:t>
      </w:r>
    </w:p>
    <w:p>
      <w:pPr>
        <w:pStyle w:val="ListNumber"/>
      </w:pPr>
      <w:r>
        <w:t>Follow up with Lucien for specifics on the Cotswold committee memo blocker once deposition prep window closes.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