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 to Rosalie and Noor — Sable Ridge Meal-Break Collective Action</w:t>
      </w:r>
    </w:p>
    <w:p>
      <w:r>
        <w:t>From: Hyun-woo Bae, Senior Associate, Litigation</w:t>
      </w:r>
    </w:p>
    <w:p>
      <w:r>
        <w:t>Re: Confirmed sequencing — memo first, then cite-check — and current status</w:t>
      </w:r>
    </w:p>
    <w:p>
      <w:pPr>
        <w:pStyle w:val="Heading2"/>
      </w:pPr>
      <w:r>
        <w:t>Summary</w:t>
      </w:r>
    </w:p>
    <w:p>
      <w:pPr>
        <w:pStyle w:val="ListNumber"/>
      </w:pPr>
      <w:r>
        <w:t>As confirmed with both of you, drafting proceeds in sequence: the collective action memo is drafted first, and cite-checking follows only once the memo's legal and factual assertions are settled.</w:t>
      </w:r>
    </w:p>
    <w:p>
      <w:pPr>
        <w:pStyle w:val="ListNumber"/>
      </w:pPr>
      <w:r>
        <w:t>This memo is in the drafting stage. The statutory framework and certification-standard sections are now complete. The factual record section is unblocked and in progress. No cite-check has started, consistent with the agreed sequencing, and none should start until I confirm the memo is ready for that pass.</w:t>
      </w:r>
    </w:p>
    <w:p>
      <w:pPr>
        <w:pStyle w:val="ListNumber"/>
      </w:pPr>
      <w:r>
        <w:t>The Sable Ridge cite-check and declaration pull package referenced in earlier status updates is a separate, already-closed workstream and is not part of this memo's sequencing.</w:t>
      </w:r>
    </w:p>
    <w:p>
      <w:pPr>
        <w:pStyle w:val="Heading2"/>
      </w:pPr>
      <w:r>
        <w:t>1. Scope of the Memo</w:t>
      </w:r>
    </w:p>
    <w:p>
      <w:r>
        <w:t>The memo addresses the proposed meal-break collective action against Sable Ridge, covering: (a) the applicable statutory framework for meal-break claims and conditional certification standards; (b) the factual record developed to date from custodian interviews and produced timekeeping/scheduling data; (c) an assessment of similarly-situated status across the proposed collective; and (d) recommended next steps on certification strategy.</w:t>
      </w:r>
    </w:p>
    <w:p>
      <w:pPr>
        <w:pStyle w:val="Heading2"/>
      </w:pPr>
      <w:r>
        <w:t>2. Confirmed Sequencing</w:t>
      </w:r>
    </w:p>
    <w:p>
      <w:pPr>
        <w:pStyle w:val="ListNumber"/>
      </w:pPr>
      <w:r>
        <w:t>Step 1 — Drafting: I complete a full draft of the memo, including citations in placeholder or working form, so the legal analysis and factual narrative are locked before anyone spends time verifying citations that might still move.</w:t>
      </w:r>
    </w:p>
    <w:p>
      <w:pPr>
        <w:pStyle w:val="ListNumber"/>
      </w:pPr>
      <w:r>
        <w:t>Step 2 — Cite-check: Once Rosalie and Noor sign off on substance, the memo goes to cite-check, confirming each citation against the source record and correcting any placeholder or working citations to final form.</w:t>
      </w:r>
    </w:p>
    <w:p>
      <w:pPr>
        <w:pStyle w:val="Heading2"/>
      </w:pPr>
      <w:r>
        <w:t>3. Current Status</w:t>
      </w:r>
    </w:p>
    <w:p>
      <w:pPr>
        <w:pStyle w:val="ListNumber"/>
      </w:pPr>
      <w:r>
        <w:t>The statutory framework and certification-standard sections are drafted.</w:t>
      </w:r>
    </w:p>
    <w:p>
      <w:pPr>
        <w:pStyle w:val="ListNumber"/>
      </w:pPr>
      <w:r>
        <w:t>The factual record section is proceeding: this week's privilege log review confirmed no new custodian-interview entries surfaced, so the hold is lifted and drafting on this section is underway.</w:t>
      </w:r>
    </w:p>
    <w:p>
      <w:pPr>
        <w:pStyle w:val="ListNumber"/>
      </w:pPr>
      <w:r>
        <w:t>Remaining: the similarly-situated assessment and the recommended next steps on certification strategy, both still to be drafted.</w:t>
      </w:r>
    </w:p>
    <w:p>
      <w:pPr>
        <w:pStyle w:val="ListNumber"/>
      </w:pPr>
      <w:r>
        <w:t>Cite-check has not begun and will not begin until Step 1 is complete and substance is confirmed by Rosalie and Noor.</w:t>
      </w:r>
    </w:p>
    <w:p>
      <w:pPr>
        <w:pStyle w:val="Heading2"/>
      </w:pPr>
      <w:r>
        <w:t>4. Open Items and Dependencies</w:t>
      </w:r>
    </w:p>
    <w:p>
      <w:pPr>
        <w:pStyle w:val="ListNumber"/>
      </w:pPr>
      <w:r>
        <w:t>None beyond the sequencing itself. This is tracked separately from the Pryor reply brief and from the closed-out Rosalie cite-check/declaration pull package.</w:t>
      </w:r>
    </w:p>
    <w:p>
      <w:pPr>
        <w:pStyle w:val="ListNumber"/>
      </w:pPr>
      <w:r>
        <w:t>I will circulate the full draft to Rosalie and Noor once complete, and will flag explicitly when it is ready to move to cite-check.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