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Initial Response Strategy Memo</w:t>
      </w:r>
    </w:p>
    <w:p>
      <w:r>
        <w:t>Re: Multi-Site Driver Meal-Break Collective Action</w:t>
      </w:r>
    </w:p>
    <w:p>
      <w:r>
        <w:t>From: Fionnuala Doherty, Partner, Employment</w:t>
      </w:r>
    </w:p>
    <w:p>
      <w:r>
        <w:t>Privileged and Confidential – Attorney Work Product</w:t>
      </w:r>
    </w:p>
    <w:p>
      <w:pPr>
        <w:pStyle w:val="Heading2"/>
      </w:pPr>
      <w:r>
        <w:t>1. Purpose and Scope</w:t>
      </w:r>
    </w:p>
    <w:p>
      <w:r>
        <w:t>This memo sets out our initial response strategy for the newly filed multi-site driver meal-break collective action. It covers staffing, our read of exposure, immediate procedural steps, and coordination points with other active matters. This workstream is being run separately from the Abioye investigation and the related supervisor harassment complaint. Those matters stay on their own track. Nothing here should be read as touching the substance of either.</w:t>
      </w:r>
    </w:p>
    <w:p>
      <w:pPr>
        <w:pStyle w:val="Heading2"/>
      </w:pPr>
      <w:r>
        <w:t>2. Staffing</w:t>
      </w:r>
    </w:p>
    <w:p>
      <w:r>
        <w:t>I have proposed Petra as staffing and intake lead for this matter and asked the group for input ahead of the 9:30 huddle. Given the multi-site scope, we should confirm early who is handling site-by-site data pulls versus who is owning the collective-action mechanics (conditional certification opposition, notice issues, opt-in tracking) so we are not duplicating effort once opt-ins start coming in.</w:t>
      </w:r>
    </w:p>
    <w:p>
      <w:pPr>
        <w:pStyle w:val="Heading2"/>
      </w:pPr>
      <w:r>
        <w:t>3. Initial Read on Exposure</w:t>
      </w:r>
    </w:p>
    <w:p>
      <w:pPr>
        <w:pStyle w:val="ListBullet"/>
      </w:pPr>
      <w:r>
        <w:t>Multi-site meal-break claims typically turn on whether the break policy was uniform on paper but inconsistently enforced in practice — that inconsistency is usually where plaintiffs find their strongest facts.</w:t>
      </w:r>
    </w:p>
    <w:p>
      <w:pPr>
        <w:pStyle w:val="ListBullet"/>
      </w:pPr>
      <w:r>
        <w:t>Before we take a position on liability, we need site-level timekeeping and break-log data across the named locations, not just the plaintiff's home site.</w:t>
      </w:r>
    </w:p>
    <w:p>
      <w:pPr>
        <w:pStyle w:val="ListBullet"/>
      </w:pPr>
      <w:r>
        <w:t>We should assume conditional certification is a real possibility given the multi-site framing; our early document posture should be built with that in mind.</w:t>
      </w:r>
    </w:p>
    <w:p>
      <w:pPr>
        <w:pStyle w:val="Heading2"/>
      </w:pPr>
      <w:r>
        <w:t>4. Current Status Items</w:t>
      </w:r>
    </w:p>
    <w:p>
      <w:r>
        <w:t>These are current status items, not open actions awaiting a first occurrence.</w:t>
      </w:r>
    </w:p>
    <w:p>
      <w:pPr>
        <w:pStyle w:val="ListBullet"/>
      </w:pPr>
      <w:r>
        <w:t>The Thursday 2pm cross-check call has occurred and its outcome is now documented and confirmed in writing. The gating item is cleared — the site-level timekeeping and break-log data pull may proceed.</w:t>
      </w:r>
    </w:p>
    <w:p>
      <w:pPr>
        <w:pStyle w:val="ListBullet"/>
      </w:pPr>
      <w:r>
        <w:t>Court-reporter transcript ETA remains outstanding. We do not yet have a firm delivery date; we are following up and will flag as soon as we have one, since it affects our sequencing on the related procedural steps.</w:t>
      </w:r>
    </w:p>
    <w:p>
      <w:pPr>
        <w:pStyle w:val="ListBullet"/>
      </w:pPr>
      <w:r>
        <w:t>The separate harassment complaint against a supervisor remains outside this RIF/meal-break workstream, consistent with today's planning and client guidance. It is being tracked on the Abioye investigation track, not here.</w:t>
      </w:r>
    </w:p>
    <w:p>
      <w:pPr>
        <w:pStyle w:val="Heading2"/>
      </w:pPr>
      <w:r>
        <w:t>5. Coordination with the Investigation Track</w:t>
      </w:r>
    </w:p>
    <w:p>
      <w:r>
        <w:t>These are current status items, not open actions awaiting a first occurrence.</w:t>
      </w:r>
    </w:p>
    <w:p>
      <w:pPr>
        <w:pStyle w:val="ListBullet"/>
      </w:pPr>
      <w:r>
        <w:t>A separate Investigation Lead Alignment Call has been scheduled to keep the Abioye investigation and related supervisor harassment complaint distinct from RIF and meal-break planning. This memo, and this workstream generally, should not reference facts, names, or findings from that investigation.</w:t>
      </w:r>
    </w:p>
    <w:p>
      <w:pPr>
        <w:pStyle w:val="ListBullet"/>
      </w:pPr>
      <w:r>
        <w:t>As a reminder for anyone new to this file: the Abioye investigation was opened on a written direction from counsel. That direction is what supports the privilege over the investigation materials. Nobody on this workstream should assume that privilege extends automatically to meal-break or RIF materials — it does not. Keep the files and the language separate.</w:t>
      </w:r>
    </w:p>
    <w:p>
      <w:pPr>
        <w:pStyle w:val="ListBullet"/>
      </w:pPr>
      <w:r>
        <w:t>Separately, guidance has been requested from Per Clement Abioye on a proposed 12% reduction in force. That guidance request is being handled on its own track and is not part of this meal-break workstream; it is noted here only so staffing is aware it is in flight.</w:t>
      </w:r>
    </w:p>
    <w:p>
      <w:pPr>
        <w:pStyle w:val="Heading2"/>
      </w:pPr>
      <w:r>
        <w:t>6. Immediate Next Steps</w:t>
      </w:r>
    </w:p>
    <w:p>
      <w:pPr>
        <w:pStyle w:val="ListNumber"/>
      </w:pPr>
      <w:r>
        <w:t>Confirm staffing for intake/discovery versus collective-action mechanics before the 9:30 huddle.</w:t>
      </w:r>
    </w:p>
    <w:p>
      <w:pPr>
        <w:pStyle w:val="ListNumber"/>
      </w:pPr>
      <w:r>
        <w:t>Thursday 2pm cross-check call outcome obtained and circulated — complete. Data-pull work is now cleared to proceed.</w:t>
      </w:r>
    </w:p>
    <w:p>
      <w:pPr>
        <w:pStyle w:val="ListNumber"/>
      </w:pPr>
      <w:r>
        <w:t>Begin the multi-site break-log and timekeeping pull, scoped to all named locations.</w:t>
      </w:r>
    </w:p>
    <w:p>
      <w:pPr>
        <w:pStyle w:val="ListNumber"/>
      </w:pPr>
      <w:r>
        <w:t>Chase the court-reporter transcript ETA and update this memo once a date is confirmed.</w:t>
      </w:r>
    </w:p>
    <w:p>
      <w:pPr>
        <w:pStyle w:val="ListNumber"/>
      </w:pPr>
      <w:r>
        <w:t>Keep this workstream's files, correspondence, and personnel entirely separate from the Abioye investigation track, including the pending 12% RIF guidance request.</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