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Sable Ridge Meal-Break Collective Action — Reply Brief</w:t>
      </w:r>
    </w:p>
    <w:p>
      <w:pPr>
        <w:pStyle w:val="Heading2"/>
      </w:pPr>
      <w:r>
        <w:t>Section I/V Timeline Integration — Update Pending Correction Review</w:t>
      </w:r>
    </w:p>
    <w:p>
      <w:r>
        <w:t>Summary: This memo updates the integration of the factual timeline into Section I (Factual Background) and Section V (Argument — Timeliness) of the Sable Ridge reply brief, per Bennett's request. Both open items previously flagged against Section I had been resolved, including the cite-check pass on the Section I/V timeline argument. However, Bennett flagged a correction to the underlying record ahead of today's docket call, relayed via Thandiwe Mokoena, and that correction has now been received and is being reconciled against the integrated chronology. Section I closeout status is therefore pending re-confirmation and should not be treated as final until the correction is fully worked through. Pincites remain closed out beyond the Bates/cutoff verification, which is tracked separately and does not block send. Section III's live meet-and-confer requirement is noted below for awareness but remains outside the scope of this integration. This document reflects the current working state of the Section I/V integration and is not yet the final deliverable to Bennett pending resolution of the correction.</w:t>
      </w:r>
    </w:p>
    <w:p>
      <w:pPr>
        <w:pStyle w:val="Heading2"/>
      </w:pPr>
      <w:r>
        <w:t>1. Status</w:t>
      </w:r>
    </w:p>
    <w:p>
      <w:pPr>
        <w:pStyle w:val="ListNumber"/>
      </w:pPr>
      <w:r>
        <w:t>Section I (Factual Background): Timeline integration was previously treated as complete. Custodian-interview record had been closed with no new entries surfacing in privilege log maintenance review; however, a correction to the record was flagged by Bennett and received overnight, and is now being checked against the factual chronology before closeout can be re-confirmed.</w:t>
      </w:r>
    </w:p>
    <w:p>
      <w:pPr>
        <w:pStyle w:val="ListNumber"/>
      </w:pPr>
      <w:r>
        <w:t>Section V (Argument — Timeliness): Timeline cross-referenced against the certification-standard and statutory-framework discussion; both of those sections remain complete, and the argument aligns section-by-section with the integrated chronology as previously integrated. This section is not directly implicated by the correction but will be reviewed once Section I is reconciled.</w:t>
      </w:r>
    </w:p>
    <w:p>
      <w:pPr>
        <w:pStyle w:val="Heading2"/>
      </w:pPr>
      <w:r>
        <w:t>2. Open Items</w:t>
      </w:r>
    </w:p>
    <w:p>
      <w:pPr>
        <w:pStyle w:val="ListNumber"/>
      </w:pPr>
      <w:r>
        <w:t>Open Item 1 — Custodian-interview hold on the factual record: Previously cleared; now reopened pending review of the correction Bennett flagged before today's docket call, relayed via Thandiwe Mokoena and received overnight.</w:t>
      </w:r>
    </w:p>
    <w:p>
      <w:pPr>
        <w:pStyle w:val="ListNumber"/>
      </w:pPr>
      <w:r>
        <w:t>Open Item 2 — Cite-check alignment on the timeline argument: Cite-check pass on the Section I/V timeline argument was completed, with declaration pulls cross-referenced against citations per the confirmed sequencing. This remains complete and is not affected by the correction unless reconciliation surfaces a discrepancy.</w:t>
      </w:r>
    </w:p>
    <w:p>
      <w:pPr>
        <w:pStyle w:val="Heading2"/>
      </w:pPr>
      <w:r>
        <w:t>3. Outstanding, Non-Blocking</w:t>
      </w:r>
    </w:p>
    <w:p>
      <w:pPr>
        <w:pStyle w:val="ListBullet"/>
      </w:pPr>
      <w:r>
        <w:t>Bates/cutoff pincite verification remains open but is tracked separately against the Sable Ridge cite-check package and does not hold up this integration.</w:t>
      </w:r>
    </w:p>
    <w:p>
      <w:pPr>
        <w:pStyle w:val="ListBullet"/>
      </w:pPr>
      <w:r>
        <w:t>Section III meet-and-confer requirement remains live and unresolved; flagged here for awareness only, as it sits outside Section I/V and is being tracked on its own timeline.</w:t>
      </w:r>
    </w:p>
    <w:p>
      <w:pPr>
        <w:pStyle w:val="Heading2"/>
      </w:pPr>
      <w:r>
        <w:t>4. Disposition</w:t>
      </w:r>
    </w:p>
    <w:p>
      <w:r>
        <w:t>Section V's timeliness argument reflects the integrated chronology as previously finalized. Section I, however, is pending re-confirmation following a correction to the underlying record flagged by Bennett before today's docket call and received overnight via Thandiwe Mokoena. This correction is being reconciled against the integrated timeline before Section I closeout can be re-confirmed. This is not yet the final version of the Section I/V timeline integration; an updated final version will follow once the correction is fully worked through and will be sent to Bennett at that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