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 Standing Argument (Working Draft)</w:t>
      </w:r>
    </w:p>
    <w:p>
      <w:r>
        <w:t>TO: File — Sable Ridge</w:t>
      </w:r>
    </w:p>
    <w:p>
      <w:r>
        <w:t>FROM: B. Ashworth</w:t>
      </w:r>
    </w:p>
    <w:p>
      <w:r>
        <w:t>RE: Standing Argument — Assumption of Ownership from R. [Rosalie], Continuing Redline</w:t>
      </w:r>
    </w:p>
    <w:p>
      <w:r>
        <w:t>STATUS: Working draft. This is my own pass building forward from Rosalie's framework, which is in decent shape structurally. I am taking ownership of this memo as agreed. Document remains .docx pending closure of open citation items per prior reviewer notes; nothing here is final until pincites are in. Hyunwoo has confirmed Section I is fully integrated — Bates range and discovery-cutoff pincites are closed and the timeline has been folded in; he has been directed to follow up directly with Noor, whose status information was outdated. Confirmed reply deadline: 14 days from Thursday's filing, due a week from Monday, per calculation with Thandiwe — no change to this date on any further pass. The Second Request clock is now confirmed as running from the certified service date; Adaora is sending exact calendar dates in writing today, and the call with Marguerite on the production plan is set for Friday, with a Thursday pre-call between Marguerite and Adaora to handle scope-comparison and hours-estimate groundwork beforehand. No view on expanded scope will be offered ahead of that comparison. The Pryor reply-deadline calculation above should be reflected in the sequencing below — see Section III and Open Items.</w:t>
      </w:r>
    </w:p>
    <w:p>
      <w:pPr>
        <w:pStyle w:val="Heading2"/>
      </w:pPr>
      <w:r>
        <w:t>I. Preliminary Statement</w:t>
      </w:r>
    </w:p>
    <w:p>
      <w:r>
        <w:t>Rosalie's framework correctly leads with the jurisdictional posture and the signal-case placeholder inserted in the prior pass. I am retaining the burden-shifting preview as drafted, but on this pass I am expanding the analytical bridge between the jurisdictional recital and the burden-shifting language: the memo should state expressly, not by implication, that the burden shifts to the opposing party only after the threshold showing on segregation is made, and should preview both grounds in the order they will actually be argued (segregation first, causation second) so the reader is not left reconciling an out-of-order preview against the resequenced body. See record for the underlying procedural history; exact pincite still outstanding and must be closed before circulation. The core theory does not change: standing fails independently on segregation grounds (now Section II per the resequencing) even if the court reaches the causation question, and that ordering should stay — it is the strongest ground and it should lead. Add one additional sentence at the close of this section flagging for the reader that Sections II and III are each independently sufficient, so neither ground reads as a fallback.</w:t>
      </w:r>
    </w:p>
    <w:p>
      <w:pPr>
        <w:pStyle w:val="Heading2"/>
      </w:pPr>
      <w:r>
        <w:t>II. Segregation Ground (formerly III.D — Leads Argument)</w:t>
      </w:r>
    </w:p>
    <w:p>
      <w:r>
        <w:t>This is the independently sufficient ground and belongs first. Rosalie's reordering was right. The confidentiality provision cited directly to the exhibit (see record) supports the segregation point without needing the weaker 'courts in this jurisdiction' assertion carried over from the old III.B — that sentence remains the weakest in the draft and needs a real case name before it goes anywhere near opposing counsel. Ferro-Whitlock will find it if we don't. On this pass: replace the generic jurisdictional assertion with a affirmative articulation of the segregation standard itself, drawn directly from the confidentiality provision language, so the sentence does independent analytical work rather than functioning as a placeholder waiting on a citation. The provision's segregation language should be quoted, not paraphrased, and immediately followed by application to the commingled-funds facts here.</w:t>
      </w:r>
    </w:p>
    <w:p>
      <w:r>
        <w:t>Analogy to RhinoAg and MedioStream: both sharpened in the last redline pass and both should stay sharp here — they are doing real work distinguishing the commingled-funds theory. Do not soften them in integration. On this pass, add one additional analytical layer under each analogy: for RhinoAg, make explicit why the commingling there was found insufficient to defeat segregation (the funds retained a traceable accounting identity notwithstanding commingling); for MedioStream, make explicit why the opposite result followed (no traceable identity survived commingling). The contrast between the two should carry the weight of the segregation argument here, not just the citations themselves.</w:t>
      </w:r>
    </w:p>
    <w:p>
      <w:pPr>
        <w:pStyle w:val="Heading2"/>
      </w:pPr>
      <w:r>
        <w:t>III. Causation Ground</w:t>
      </w:r>
    </w:p>
    <w:p>
      <w:r>
        <w:t>Statute section citation placeholder from the prior pass remains open. This section should read as capable of independently supporting standing, not as a backstop to Section II. Tighten the topic sentence at the top of this section so a reader who skips Section II still gets the full argument. On this pass: add a short analytical paragraph after the topic sentence walking through the causal chain element-by-element against the statutory text (once the citation is closed), so the section does not rely on cross-reference to Section II's facts to carry its own causation showing.</w:t>
      </w:r>
    </w:p>
    <w:p>
      <w:r>
        <w:t>Note for docket-call talking points: any forensic-inspection discovery motion arising out of this matter, including any tied to the restructuring agreement, must be preceded by a live meet-and-confer — not an email exchange. This is required under Judge Aldrete's standing order, which is not currently reflected anywhere in the matter file; that gap should be corrected. Her standing order treats an email exchange as no conference at all, and two firms have been sanctioned for filing without one. A motion filed without a live conference is vulnerable regardless of the merits. This dovetails with the Second Request timeline discussed on today's docket call — the production plan and exact deadline date going to Marguerite Oyelaran in writing should account for meet-and-confer lead time before any inspection motion is contemplated. With the Second Request clock now confirmed as running from certified service date, and Adaora's written dates expected today ahead of Friday's call, the meet-and-confer lead time should be built into the sequencing before any inspection motion is drafted. Flag to associates directly if asked; not for the written record to opposing counsel, and this requirement is shared internally on a need-to-know basis only — never volunteered in writing to outsiders.</w:t>
      </w:r>
    </w:p>
    <w:p>
      <w:pPr>
        <w:pStyle w:val="Heading2"/>
      </w:pPr>
      <w:r>
        <w:t>IV. Anticipated Response and Relief Requested</w:t>
      </w:r>
    </w:p>
    <w:p>
      <w:r>
        <w:t>Tightened per the last pass. Keep the relief section short and specific — no hedging language. Anticipated-response section should anticipate Ferro-Whitlock's most likely counter on the segregation point specifically, since that is now our lead ground and the one most likely to be tested first. On this pass: draft the anticipated-response paragraph to address the most probable counter directly — that partial commingling defeats segregation as a matter of law — and rebut it head-on using the RhinoAg/MedioStream contrast from Section II, so the rebuttal is fully supported by argument already developed in the body rather than asserted freestanding here.</w:t>
      </w:r>
    </w:p>
    <w:p>
      <w:pPr>
        <w:pStyle w:val="Heading2"/>
      </w:pPr>
      <w:r>
        <w:t>V. Open Items (Carried Forward, My Additions in Brackets)</w:t>
      </w:r>
    </w:p>
    <w:p>
      <w:pPr>
        <w:pStyle w:val="ListNumber"/>
      </w:pPr>
      <w:r>
        <w:t>Signal-case name for Preliminary Statement placeholder — outstanding.</w:t>
      </w:r>
    </w:p>
    <w:p>
      <w:pPr>
        <w:pStyle w:val="ListNumber"/>
      </w:pPr>
      <w:r>
        <w:t>Exact pincite for confidentiality provision — outstanding (exhibit identified, page:line needed); quoted segregation language to be pulled directly from provision once pincite closes.</w:t>
      </w:r>
    </w:p>
    <w:p>
      <w:pPr>
        <w:pStyle w:val="ListNumber"/>
      </w:pPr>
      <w:r>
        <w:t>Statute section citation for Section III (formerly III.A) — outstanding; element-by-element causation walkthrough to follow once closed.</w:t>
      </w:r>
    </w:p>
    <w:p>
      <w:pPr>
        <w:pStyle w:val="ListNumber"/>
      </w:pPr>
      <w:r>
        <w:t>Case name for 'courts in this jurisdiction' assertion, now in Section II — outstanding, flagged weakest sentence in the draft; to be replaced with affirmative segregation-standard language drawn from the confidentiality provision.</w:t>
      </w:r>
    </w:p>
    <w:p>
      <w:pPr>
        <w:pStyle w:val="ListNumber"/>
      </w:pPr>
      <w:r>
        <w:t>[Integration: Hyunwoo confirms Section I is fully integrated — Bates range/discovery-cutoff pincites closed, timeline folded in. Sent for final integration; Hyunwoo to follow up directly with Noor on status, whose prior information was outdated. Confirmed deadline driver: Pryor reply due a week from Monday (14 days from Thursday's filing) — calc confirmed with Thandiwe, no change to the date.]</w:t>
      </w:r>
    </w:p>
    <w:p>
      <w:pPr>
        <w:pStyle w:val="ListNumber"/>
      </w:pPr>
      <w:r>
        <w:t>[All 'see record' cites in Sections II-IV to carry exact pincites before any circulation outside the team — no exceptions, no approximate ranges.]</w:t>
      </w:r>
    </w:p>
    <w:p>
      <w:pPr>
        <w:pStyle w:val="ListNumber"/>
      </w:pPr>
      <w:r>
        <w:t>[Second Request: clock confirmed as running from certified service date; Adaora sending exact calendar dates in writing today; call with Marguerite set for Friday, with Thursday pre-call between Marguerite and Adaora on scope-comparison and hours-estimate groundwork. No view on expanded scope pending that comparison; preliminary non-final view remains that collection can draw primarily on the first production set. Cross-reference against meet-and-confer requirement noted in Section III (Judge Aldrete's standing order) before any inspection motion is drafted; add standing order to matter file.]</w:t>
      </w:r>
    </w:p>
    <w:p>
      <w:pPr>
        <w:pStyle w:val="ListNumber"/>
      </w:pPr>
      <w:r>
        <w:t>[Confirm with Lucien before this moves to .pdf status — document stays .docx until all of the above close out.]</w:t>
      </w:r>
    </w:p>
    <w:p>
      <w:r>
        <w:t>Internal note: this remains a working document. I am building forward from Rosalie's structure rather than rewriting it wholesale — the sequencing decision (segregation ground first) is the one substantive architectural change from her draft and it stays. This pass adds depth of analysis and citation-support scaffolding within each section (jurisdictional bridge in Section I, quoted-provision application and sharpened analogy contrast in Section II, element-by-element causation walkthrough in Section III, and a fully rebutted anticipated-response in Section IV) ahead of the dispositive motion — none of it is redirection. Next pass after final integration of Hyunwoo's Section I is confirmed received, after outstanding pincites and the statute citation close, and after the Second Request letter to Marguerite Oyelaran goes out following Adaora's written confirmation and Friday's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