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Sable Ridge — General Counsel / Human Resources Leadership</w:t>
      </w:r>
    </w:p>
    <w:p>
      <w:r>
        <w:t>From: Fionnuala Doherty, Partner, Employment</w:t>
      </w:r>
    </w:p>
    <w:p>
      <w:r>
        <w:t>Re: Reduction in Force — Planning Considerations and Recommended Process</w:t>
      </w:r>
    </w:p>
    <w:p>
      <w:r>
        <w:t>This memorandum sets out the legal framework and recommended process for the planned reduction in force ("RIF"). It is intended to guide selection, documentation, and notice decisions before any list is finalized. Please treat this as a working document — I expect at least one more round of revisions once the selection data is in front of us.</w:t>
      </w:r>
    </w:p>
    <w:p>
      <w:pPr>
        <w:pStyle w:val="Heading2"/>
      </w:pPr>
      <w:r>
        <w:t>1. Purpose and Scope</w:t>
      </w:r>
    </w:p>
    <w:p>
      <w:r>
        <w:t>Sable Ridge is planning a reduction in force affecting one or more business units. This memo addresses (a) the legal risks that most commonly turn a RIF into litigation, (b) the process safeguards that reduce that risk, and (c) the specific decisions we need from leadership before selection is finalized.</w:t>
      </w:r>
    </w:p>
    <w:p>
      <w:pPr>
        <w:pStyle w:val="Heading2"/>
      </w:pPr>
      <w:r>
        <w:t>2. Key Legal Risks</w:t>
      </w:r>
    </w:p>
    <w:p>
      <w:pPr>
        <w:pStyle w:val="ListNumber"/>
      </w:pPr>
      <w:r>
        <w:t>Disparate impact under Title VII and state fair employment statutes if selection criteria, even if neutral on their face, fall more heavily on a protected group (age, sex, race, disability status).</w:t>
      </w:r>
    </w:p>
    <w:p>
      <w:pPr>
        <w:pStyle w:val="ListNumber"/>
      </w:pPr>
      <w:r>
        <w:t>Age discrimination exposure under the ADEA, particularly acute given that RIFs statistically skew toward removing longer-tenured, higher-paid employees who are disproportionately older.</w:t>
      </w:r>
    </w:p>
    <w:p>
      <w:pPr>
        <w:pStyle w:val="ListNumber"/>
      </w:pPr>
      <w:r>
        <w:t>WARN Act and state mini-WARN notice obligations if the number of affected employees at a single site crosses statutory thresholds within the relevant look-back period.</w:t>
      </w:r>
    </w:p>
    <w:p>
      <w:pPr>
        <w:pStyle w:val="ListNumber"/>
      </w:pPr>
      <w:r>
        <w:t>Retaliation claims from employees who have recently made complaints, taken leave, or filed workers' compensation claims — selection of these individuals draws immediate scrutiny.</w:t>
      </w:r>
    </w:p>
    <w:p>
      <w:pPr>
        <w:pStyle w:val="ListNumber"/>
      </w:pPr>
      <w:r>
        <w:t>Breach of contract or promissory estoppel claims where offer letters, handbooks, or commission plans created enforceable expectations regarding notice, severance, or bonus payout.</w:t>
      </w:r>
    </w:p>
    <w:p>
      <w:pPr>
        <w:pStyle w:val="Heading2"/>
      </w:pPr>
      <w:r>
        <w:t>3. Recommended Process Safeguards</w:t>
      </w:r>
    </w:p>
    <w:p>
      <w:pPr>
        <w:pStyle w:val="ListBullet"/>
      </w:pPr>
      <w:r>
        <w:t>Define selection criteria in writing before anyone sees the names — role elimination, skills matrix, or performance ratings, not a manager's list assembled after the fact.</w:t>
      </w:r>
    </w:p>
    <w:p>
      <w:pPr>
        <w:pStyle w:val="ListBullet"/>
      </w:pPr>
      <w:r>
        <w:t>Run an adverse impact analysis on the proposed list by age (40+), sex, race, and disability status before it is finalized, not after.</w:t>
      </w:r>
    </w:p>
    <w:p>
      <w:pPr>
        <w:pStyle w:val="ListBullet"/>
      </w:pPr>
      <w:r>
        <w:t>Route every proposed selection through legal review, with documented business justification for each individual.</w:t>
      </w:r>
    </w:p>
    <w:p>
      <w:pPr>
        <w:pStyle w:val="ListBullet"/>
      </w:pPr>
      <w:r>
        <w:t>Prepare and offer a separation agreement with a general release, with OWBPA-compliant disclosure (decisional unit, ages, job titles, and selection criteria) if any affected employee is 40 or older and the group is being offered a group termination program.</w:t>
      </w:r>
    </w:p>
    <w:p>
      <w:pPr>
        <w:pStyle w:val="ListBullet"/>
      </w:pPr>
      <w:r>
        <w:t>Confirm WARN/mini-WARN counts across all sites for the 90-day look-back window before setting a notice date.</w:t>
      </w:r>
    </w:p>
    <w:p>
      <w:pPr>
        <w:pStyle w:val="ListBullet"/>
      </w:pPr>
      <w:r>
        <w:t>Centralize communications — one script for managers, one FAQ for HR, no ad hoc explanations to individual employees about why they were selected.</w:t>
      </w:r>
    </w:p>
    <w:p>
      <w:pPr>
        <w:pStyle w:val="Heading2"/>
      </w:pPr>
      <w:r>
        <w:t>4. Severance and Release Considerations</w:t>
      </w:r>
    </w:p>
    <w:p>
      <w:r>
        <w:t>We recommend a standard severance formula (e.g., base weeks plus tenure-based increments) applied uniformly across the affected group, with any exceptions documented and legally justified. Releases should be OWBPA-compliant where applicable: 45 days for consideration in a group termination program, 7-day revocation period, and the required decisional-unit disclosure attached as an exhibit.</w:t>
      </w:r>
    </w:p>
    <w:p>
      <w:pPr>
        <w:pStyle w:val="Heading2"/>
      </w:pPr>
      <w:r>
        <w:t>5. Decisions Needed From Leadership</w:t>
      </w:r>
    </w:p>
    <w:p>
      <w:pPr>
        <w:pStyle w:val="ListNumber"/>
      </w:pPr>
      <w:r>
        <w:t>Confirm the decisional unit(s) and total headcount proposed for selection.</w:t>
      </w:r>
    </w:p>
    <w:p>
      <w:pPr>
        <w:pStyle w:val="ListNumber"/>
      </w:pPr>
      <w:r>
        <w:t>Provide the selection criteria and underlying data (skills matrix, performance ratings, or role-elimination rationale) for legal review.</w:t>
      </w:r>
    </w:p>
    <w:p>
      <w:pPr>
        <w:pStyle w:val="ListNumber"/>
      </w:pPr>
      <w:r>
        <w:t>Confirm target notice date so we can finalize the WARN analysis and severance calendar.</w:t>
      </w:r>
    </w:p>
    <w:p>
      <w:pPr>
        <w:pStyle w:val="ListNumber"/>
      </w:pPr>
      <w:r>
        <w:t>Confirm severance formula and whether a group termination program (with OWBPA disclosure) is intended.</w:t>
      </w:r>
    </w:p>
    <w:p>
      <w:pPr>
        <w:pStyle w:val="Heading2"/>
      </w:pPr>
      <w:r>
        <w:t>6. Next Steps</w:t>
      </w:r>
    </w:p>
    <w:p>
      <w:r>
        <w:t>Once we have the proposed selection list, we will run the adverse impact analysis and return comments within 48 hours. Please do not communicate any selection decisions to affected employees until that review is complete. Call me if easier.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