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Memorandum</w:t>
      </w:r>
    </w:p>
    <w:p>
      <w:r>
        <w:t>To: Clement Abioye, Sable Ridge</w:t>
      </w:r>
    </w:p>
    <w:p>
      <w:r>
        <w:t>From: Fionnuala Doherty</w:t>
      </w:r>
    </w:p>
    <w:p>
      <w:r>
        <w:t>Re: Defensible reduction in force process — guidance and recommended steps</w:t>
      </w:r>
    </w:p>
    <w:p>
      <w:r>
        <w:t>This memo sets out how to run the planned reduction in force so the selection process holds up if challenged. It is drafted for internal planning purposes and should not be shared outside the core planning group until final headcount decisions are made.</w:t>
      </w:r>
    </w:p>
    <w:p>
      <w:pPr>
        <w:pStyle w:val="Heading2"/>
      </w:pPr>
      <w:r>
        <w:t>1. Framing the Decision</w:t>
      </w:r>
    </w:p>
    <w:p>
      <w:r>
        <w:t>Before any names are attached to positions, the business rationale for the RIF needs to be written down and dated. That rationale — cost reduction, restructuring, elimination of a function, loss of a client contract, whatever it actually is — becomes the anchor for every selection decision that follows. If the rationale shifts partway through planning, that shift needs to be documented too, because a moving rationale is the first thing opposing counsel will point to.</w:t>
      </w:r>
    </w:p>
    <w:p>
      <w:pPr>
        <w:pStyle w:val="Heading2"/>
      </w:pPr>
      <w:r>
        <w:t>2. Selection Criteria</w:t>
      </w:r>
    </w:p>
    <w:p>
      <w:r>
        <w:t>Selection should be made against criteria set before anyone looks at individual employees — not after. Acceptable criteria typically include: position elimination tied to the business rationale, documented performance ratings from a consistent review cycle, unique skills or certifications required going forward, and seniority where it is used as a tiebreaker rather than the sole criterion. Criteria should be applied uniformly across the whole pool being considered, not department by department with different rules in each.</w:t>
      </w:r>
    </w:p>
    <w:p>
      <w:pPr>
        <w:pStyle w:val="Heading2"/>
      </w:pPr>
      <w:r>
        <w:t>3. Adverse Impact Analysis</w:t>
      </w:r>
    </w:p>
    <w:p>
      <w:r>
        <w:t>Before anything is communicated to an employee, run an adverse impact analysis across the selected pool by age (40+), sex, race, and any other protected characteristic tracked in HR data. Compare the selection rate for each protected group against the group's share of the overall pool. Any disparity above what a four-fifths ratio would flag needs an explanation grounded in the criteria in Section 2 — not an explanation invented afterward. If the numbers cannot be explained by the criteria, the selections need to be revisited before anyone is told anything.</w:t>
      </w:r>
    </w:p>
    <w:p>
      <w:pPr>
        <w:pStyle w:val="Heading2"/>
      </w:pPr>
      <w:r>
        <w:t>4. OWBPA and ADEA Considerations</w:t>
      </w:r>
    </w:p>
    <w:p>
      <w:r>
        <w:t>If any employee being selected is 40 or older and will be asked to sign a release in exchange for severance, the release needs to comply with the Older Workers Benefit Protection Act. That means: 45 days to consider the agreement if this is a group termination program (21 days if it is an individual termination), a 7-day revocation period after signing, and a disclosure attachment identifying job titles and ages of everyone in the decisional unit who was and was not selected. The decisional unit needs to be defined now, before notice goes out, not reconstructed later to make the disclosure look cleaner.</w:t>
      </w:r>
    </w:p>
    <w:p>
      <w:pPr>
        <w:pStyle w:val="Heading2"/>
      </w:pPr>
      <w:r>
        <w:t>5. WARN Act</w:t>
      </w:r>
    </w:p>
    <w:p>
      <w:r>
        <w:t>If the number of affected employees at a single site meets the WARN Act threshold (50+ employees constituting at least one third of the site's workforce, or 500+ regardless of percentage), 60 days written notice is required to affected employees, the state dislocated worker unit, and local government. Confirm headcount by site now — if this RIF is close to the threshold, that determines the notice timeline and cannot be decided the week of the layoffs.</w:t>
      </w:r>
    </w:p>
    <w:p>
      <w:pPr>
        <w:pStyle w:val="Heading2"/>
      </w:pPr>
      <w:r>
        <w:t>6. Manager Preparation</w:t>
      </w:r>
    </w:p>
    <w:p>
      <w:r>
        <w:t>Every manager delivering a notice needs a script, needs to know what they can and cannot say about severance and benefits, and needs to be told explicitly not to explain the selection rationale beyond a short, consistent statement provided by HR. Inconsistent manager explanations are one of the most common sources of later claims.</w:t>
      </w:r>
    </w:p>
    <w:p>
      <w:pPr>
        <w:pStyle w:val="Heading2"/>
      </w:pPr>
      <w:r>
        <w:t>7. Recommended Next Steps</w:t>
      </w:r>
    </w:p>
    <w:p>
      <w:pPr>
        <w:pStyle w:val="ListNumber"/>
      </w:pPr>
      <w:r>
        <w:t>Finalize and date the written business rationale this week</w:t>
      </w:r>
    </w:p>
    <w:p>
      <w:pPr>
        <w:pStyle w:val="ListNumber"/>
      </w:pPr>
      <w:r>
        <w:t>Confirm the decisional unit and run the adverse impact analysis before any notices are drafted</w:t>
      </w:r>
    </w:p>
    <w:p>
      <w:pPr>
        <w:pStyle w:val="ListNumber"/>
      </w:pPr>
      <w:r>
        <w:t>Confirm site-by-site headcount against the WARN Act threshold</w:t>
      </w:r>
    </w:p>
    <w:p>
      <w:pPr>
        <w:pStyle w:val="ListNumber"/>
      </w:pPr>
      <w:r>
        <w:t>Prepare OWBPA-compliant release language and disclosure attachment</w:t>
      </w:r>
    </w:p>
    <w:p>
      <w:pPr>
        <w:pStyle w:val="ListNumber"/>
      </w:pPr>
      <w:r>
        <w:t>Schedule a 30-minute manager briefing before notice day</w:t>
      </w:r>
    </w:p>
    <w:p>
      <w:pPr>
        <w:pStyle w:val="ListNumber"/>
      </w:pPr>
      <w:r>
        <w:t>Send me the adverse impact numbers as soon as they're run — I'd like to review before anything is finalized</w:t>
      </w:r>
    </w:p>
    <w:p>
      <w:r>
        <w:t>Happy to walk through any of this together. Call me if easier.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