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AND CONFIDENTIAL — ATTORNEY-CLIENT COMMUNICATION AND ATTORNEY WORK PRODUCT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Clement Abioye, Sable Ridge</w:t>
            </w:r>
          </w:p>
        </w:tc>
      </w:tr>
      <w:tr>
        <w:tc>
          <w:tcPr>
            <w:tcW w:type="dxa" w:w="4320"/>
          </w:tcPr>
          <w:p>
            <w:r>
              <w:t>From</w:t>
            </w:r>
          </w:p>
        </w:tc>
        <w:tc>
          <w:tcPr>
            <w:tcW w:type="dxa" w:w="4320"/>
          </w:tcPr>
          <w:p>
            <w:r>
              <w:t>Fionnuala Doherty</w:t>
            </w:r>
          </w:p>
        </w:tc>
      </w:tr>
      <w:tr>
        <w:tc>
          <w:tcPr>
            <w:tcW w:type="dxa" w:w="4320"/>
          </w:tcPr>
          <w:p>
            <w:r>
              <w:t>Date</w:t>
            </w:r>
          </w:p>
        </w:tc>
        <w:tc>
          <w:tcPr>
            <w:tcW w:type="dxa" w:w="4320"/>
          </w:tcPr>
          <w:p>
            <w:r>
              <w:t>Today</w:t>
            </w:r>
          </w:p>
        </w:tc>
      </w:tr>
      <w:tr>
        <w:tc>
          <w:tcPr>
            <w:tcW w:type="dxa" w:w="4320"/>
          </w:tcPr>
          <w:p>
            <w:r>
              <w:t>Re</w:t>
            </w:r>
          </w:p>
        </w:tc>
        <w:tc>
          <w:tcPr>
            <w:tcW w:type="dxa" w:w="4320"/>
          </w:tcPr>
          <w:p>
            <w:r>
              <w:t>Reduction in Force — Workforce Reduction Guidance (Approx. 12%)</w:t>
            </w:r>
          </w:p>
        </w:tc>
      </w:tr>
    </w:tbl>
    <w:p>
      <w:pPr>
        <w:pStyle w:val="Heading2"/>
      </w:pPr>
      <w:r>
        <w:t>Purpose</w:t>
      </w:r>
    </w:p>
    <w:p>
      <w:r>
        <w:t>This memo follows up on our conversation regarding Sable Ridge's planned workforce reduction of approximately 12% of headcount. We're still working through the open items below before we lock in a legal framework and timeline. Please treat this as a working draft; nothing here is final until we've talked it through together.</w:t>
      </w:r>
    </w:p>
    <w:p>
      <w:pPr>
        <w:pStyle w:val="Heading2"/>
      </w:pPr>
      <w:r>
        <w:t>Separate and Urgent — Please Note</w:t>
      </w:r>
    </w:p>
    <w:p>
      <w:r>
        <w:t>I want to flag, separately from the RIF planning below, the harassment complaint you raised. That is being handled on its own track and on its own urgency — it should not be folded into or allowed to delay the RIF timeline, and the two matters should stay analytically and procedurally separate (including in any selection-list discussion, so there's no appearance the RIF is connected to the complaint). We'll talk through next steps on that separately. Call me if easier.</w:t>
      </w:r>
    </w:p>
    <w:p>
      <w:pPr>
        <w:pStyle w:val="Heading2"/>
      </w:pPr>
      <w:r>
        <w:t>What We Still Need to Confirm With You</w:t>
      </w:r>
    </w:p>
    <w:p>
      <w:pPr>
        <w:pStyle w:val="ListNumber"/>
      </w:pPr>
      <w:r>
        <w:t>Scope and selection pool: which business units, locations, and job titles are in scope for the 12% reduction, and over what time period the reduction will occur. Still awaiting confirmation.</w:t>
      </w:r>
    </w:p>
    <w:p>
      <w:pPr>
        <w:pStyle w:val="ListNumber"/>
      </w:pPr>
      <w:r>
        <w:t>Selection criteria: whether selections will be based on position elimination, performance ranking, seniority, or a hybrid approach, and who is making those calls.</w:t>
      </w:r>
    </w:p>
    <w:p>
      <w:pPr>
        <w:pStyle w:val="ListNumber"/>
      </w:pPr>
      <w:r>
        <w:t>Timing: target notification date(s), whether this is a single event or phased, and whether any single site will lose 50+ employees within a 90-day window.</w:t>
      </w:r>
    </w:p>
    <w:p>
      <w:pPr>
        <w:pStyle w:val="ListNumber"/>
      </w:pPr>
      <w:r>
        <w:t>Locations: every state and site affected, since WARN Act and state 'mini-WARN' obligations (and notice periods) vary significantly by jurisdiction.</w:t>
      </w:r>
    </w:p>
    <w:p>
      <w:pPr>
        <w:pStyle w:val="ListNumber"/>
      </w:pPr>
      <w:r>
        <w:t>Union or works council presence at any affected location.</w:t>
      </w:r>
    </w:p>
    <w:p>
      <w:pPr>
        <w:pStyle w:val="ListNumber"/>
      </w:pPr>
      <w:r>
        <w:t>Severance philosophy: what is currently being offered, and whether the company wants signed releases in exchange for enhanced severance.</w:t>
      </w:r>
    </w:p>
    <w:p>
      <w:pPr>
        <w:pStyle w:val="Heading2"/>
      </w:pPr>
      <w:r>
        <w:t>Legal Framework We Are Applying</w:t>
      </w:r>
    </w:p>
    <w:p>
      <w:pPr>
        <w:pStyle w:val="ListBullet"/>
      </w:pPr>
      <w:r>
        <w:t>WARN Act (federal) and applicable state mini-WARN statutes — triggered by numeric and timing thresholds tied to the scope answers above.</w:t>
      </w:r>
    </w:p>
    <w:p>
      <w:pPr>
        <w:pStyle w:val="ListBullet"/>
      </w:pPr>
      <w:r>
        <w:t>Disparate impact analysis under the ADEA and Title VII — we will run an adverse impact analysis on the proposed selection list by age band, and by race/sex/other protected categories, before any list is finalized.</w:t>
      </w:r>
    </w:p>
    <w:p>
      <w:pPr>
        <w:pStyle w:val="ListBullet"/>
      </w:pPr>
      <w:r>
        <w:t>OWBPA requirements if severance in exchange for a release is offered to employees 40 and over, including the disclosure obligations that apply when a group termination is involved (decisional unit disclosures, 45-day consideration period).</w:t>
      </w:r>
    </w:p>
    <w:p>
      <w:pPr>
        <w:pStyle w:val="ListBullet"/>
      </w:pPr>
      <w:r>
        <w:t>Wage-and-hour compliance for any exiting employees — for the file, we are also confirming there are no outstanding wage-and-hour exposure items (e.g., misclassification, unpaid overtime) among the proposed selection pool that could complicate releases or invite additional claims.</w:t>
      </w:r>
    </w:p>
    <w:p>
      <w:pPr>
        <w:pStyle w:val="Heading2"/>
      </w:pPr>
      <w:r>
        <w:t>Recommended Next Step</w:t>
      </w:r>
    </w:p>
    <w:p>
      <w:r>
        <w:t>Please send over the current draft selection list (even if preliminary) so we can run the adverse impact analysis before anyone outside HR sees names attached to the plan. Once we have scope, locations, and timing confirmed, I'll turn around a WARN Act notice and timeline analysis and a severance/release template within 48 hours.</w:t>
      </w:r>
    </w:p>
    <w:p>
      <w:r>
        <w:t>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