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Clement Abioye, Sable Ridge</w:t>
            </w:r>
          </w:p>
        </w:tc>
      </w:tr>
      <w:tr>
        <w:tc>
          <w:tcPr>
            <w:tcW w:type="dxa" w:w="4320"/>
          </w:tcPr>
          <w:p>
            <w:r>
              <w:t>From</w:t>
            </w:r>
          </w:p>
        </w:tc>
        <w:tc>
          <w:tcPr>
            <w:tcW w:type="dxa" w:w="4320"/>
          </w:tcPr>
          <w:p>
            <w:r>
              <w:t>Fionnuala Doherty, Partner, Employment</w:t>
            </w:r>
          </w:p>
        </w:tc>
      </w:tr>
      <w:tr>
        <w:tc>
          <w:tcPr>
            <w:tcW w:type="dxa" w:w="4320"/>
          </w:tcPr>
          <w:p>
            <w:r>
              <w:t>Date</w:t>
            </w:r>
          </w:p>
        </w:tc>
        <w:tc>
          <w:tcPr>
            <w:tcW w:type="dxa" w:w="4320"/>
          </w:tcPr>
          <w:p>
            <w:r>
              <w:t>Thursday deadline — delivered in advance</w:t>
            </w:r>
          </w:p>
        </w:tc>
      </w:tr>
      <w:tr>
        <w:tc>
          <w:tcPr>
            <w:tcW w:type="dxa" w:w="4320"/>
          </w:tcPr>
          <w:p>
            <w:r>
              <w:t>Re</w:t>
            </w:r>
          </w:p>
        </w:tc>
        <w:tc>
          <w:tcPr>
            <w:tcW w:type="dxa" w:w="4320"/>
          </w:tcPr>
          <w:p>
            <w:r>
              <w:t>Proposed 12% Reduction in Force — Defensible Process Guidance (Updated)</w:t>
            </w:r>
          </w:p>
        </w:tc>
      </w:tr>
    </w:tbl>
    <w:p>
      <w:pPr>
        <w:pStyle w:val="Heading2"/>
      </w:pPr>
      <w:r>
        <w:t>Bottom Line</w:t>
      </w:r>
    </w:p>
    <w:p>
      <w:r>
        <w:t>A 12% workforce reduction can be implemented lawfully, but only if the selection process is built and documented before any names are finalized. The greatest legal exposure in a RIF is never the decision to reduce headcount — it is an unexplainable pattern in who was selected. This memo sets out the process I recommend, the analysis we need run before selections are locked, and the documentation that will protect Sable Ridge if any separated employee challenges the decision. Since the last draft, the adverse impact review has opened for this cycle and an initial exception list has surfaced three sites — Halden, Northmoor, and Verity Grain — that need a closer look before anything is treated as final. That individualized review is now under way; status is below.</w:t>
      </w:r>
    </w:p>
    <w:p>
      <w:pPr>
        <w:pStyle w:val="Heading2"/>
      </w:pPr>
      <w:r>
        <w:t>1. Governing Legal Framework</w:t>
      </w:r>
    </w:p>
    <w:p>
      <w:r>
        <w:t>A RIF is lawful when it is based on legitimate, non-discriminatory business criteria applied consistently. Exposure arises under three overlapping theories, and we should pressure-test the plan against all three before finalizing any list:</w:t>
      </w:r>
    </w:p>
    <w:p>
      <w:pPr>
        <w:pStyle w:val="ListNumber"/>
      </w:pPr>
      <w:r>
        <w:t>Disparate treatment — an individual selected because of a protected characteristic (age, race, sex, disability, pregnancy, etc.), even if unintentional in the manager's own mind.</w:t>
      </w:r>
    </w:p>
    <w:p>
      <w:pPr>
        <w:pStyle w:val="ListNumber"/>
      </w:pPr>
      <w:r>
        <w:t>Disparate impact — a facially neutral criterion (tenure, performance score, salary band) that in practice falls disproportionately on a protected group.</w:t>
      </w:r>
    </w:p>
    <w:p>
      <w:pPr>
        <w:pStyle w:val="ListNumber"/>
      </w:pPr>
      <w:r>
        <w:t>Retaliation — selection of anyone who has engaged in protected activity (complaints, leave requests, accommodation requests, whistleblowing) within the look-back period we set at 24 months.</w:t>
      </w:r>
    </w:p>
    <w:p>
      <w:pPr>
        <w:pStyle w:val="Heading2"/>
      </w:pPr>
      <w:r>
        <w:t>2. Required Pre-Selection Analysis</w:t>
      </w:r>
    </w:p>
    <w:p>
      <w:r>
        <w:t>Before any selection list is treated as final, we need the following run and reviewed by counsel:</w:t>
      </w:r>
    </w:p>
    <w:p>
      <w:pPr>
        <w:pStyle w:val="ListNumber"/>
      </w:pPr>
      <w:r>
        <w:t>Adverse impact ratio analysis (the 'four-fifths rule') by age (40+), race, sex, and disability status, at both the department and company-wide level.</w:t>
      </w:r>
    </w:p>
    <w:p>
      <w:pPr>
        <w:pStyle w:val="ListNumber"/>
      </w:pPr>
      <w:r>
        <w:t>A cross-check of every proposed selection against protected-activity records: EEO complaints, FMLA/leave usage, accommodation requests, workers' compensation claims, and whistleblower reports, going back 24 months.</w:t>
      </w:r>
    </w:p>
    <w:p>
      <w:pPr>
        <w:pStyle w:val="ListNumber"/>
      </w:pPr>
      <w:r>
        <w:t>Confirmation that selection criteria (performance ratings, tenure, role elimination, skills match) were applied using the same rubric across all business units — not left to individual manager discretion without a documented standard.</w:t>
      </w:r>
    </w:p>
    <w:p>
      <w:pPr>
        <w:pStyle w:val="ListNumber"/>
      </w:pPr>
      <w:r>
        <w:t>A review of whether any selected employee is within a protected class and near a vesting, leave, or benefits milestone (e.g., pension cliff, return from leave, upcoming FMLA request).</w:t>
      </w:r>
    </w:p>
    <w:p>
      <w:pPr>
        <w:pStyle w:val="Heading2"/>
      </w:pPr>
      <w:r>
        <w:t>2A. Status Update — This Cycle's Exception List</w:t>
      </w:r>
    </w:p>
    <w:p>
      <w:r>
        <w:t>The new cycle's exception list is now open, and three sites have flagged as statistical outliers requiring individualized review before their proposed selections can be treated as final: Halden, Northmoor, and Verity Grain. For each of these, I want the underlying rubric scores, the pool of employees considered, and the protected-activity cross-check pulled and reviewed before the manager is told the list is locked. An outlier flag does not mean the selection is wrong — it means we look before we lock, and we document why the result is defensible if it is.</w:t>
      </w:r>
    </w:p>
    <w:p>
      <w:r>
        <w:t>Status: the rubric scores and applicant pools for all three sites have now been pulled and are with me for review. The protected-activity cross-check is running in parallel. Until that review closes for each site, no manager should be told their proposed list is final, and no notice should be calendared against those headcounts.</w:t>
      </w:r>
    </w:p>
    <w:p>
      <w:pPr>
        <w:pStyle w:val="Heading2"/>
      </w:pPr>
      <w:r>
        <w:t>3. Documentation Standard</w:t>
      </w:r>
    </w:p>
    <w:p>
      <w:r>
        <w:t>For every position eliminated, the file should contain a one-page justification identifying: the business reason for eliminating the role (not the person), the criteria applied, the pool of employees considered, and why the selected employee scored lowest against that criteria. This should be written contemporaneously — not reconstructed after a demand letter arrives. I have seen far too many RIFs where the layoff was defensible but the file was built after the fact and looked like it. For Halden, Northmoor, and Verity Grain specifically, the one-page justification should be completed and reviewed by me before the manager is told the selection is final, given the outlier flag.</w:t>
      </w:r>
    </w:p>
    <w:p>
      <w:pPr>
        <w:pStyle w:val="Heading2"/>
      </w:pPr>
      <w:r>
        <w:t>4. Separation Mechanics</w:t>
      </w:r>
    </w:p>
    <w:p>
      <w:pPr>
        <w:pStyle w:val="ListBullet"/>
      </w:pPr>
      <w:r>
        <w:t>OWBPA-compliant release language and the required 45-day consideration period and disclosure tables if 40+ employees are involved and this qualifies as a group termination.</w:t>
      </w:r>
    </w:p>
    <w:p>
      <w:pPr>
        <w:pStyle w:val="ListBullet"/>
      </w:pPr>
      <w:r>
        <w:t>Standard severance formula applied uniformly — no manager discretion to add or subtract weeks without sign-off from Clement and me.</w:t>
      </w:r>
    </w:p>
    <w:p>
      <w:pPr>
        <w:pStyle w:val="ListBullet"/>
      </w:pPr>
      <w:r>
        <w:t>Outplacement offer and COBRA subsidy terms confirmed in writing before notices go out, so HR is not answering that question live.</w:t>
      </w:r>
    </w:p>
    <w:p>
      <w:pPr>
        <w:pStyle w:val="ListBullet"/>
      </w:pPr>
      <w:r>
        <w:t>State and federal WARN Act analysis — confirm whether the 12% figure at the relevant sites crosses the 50-employee/33% threshold or the 500-employee threshold, and lock the notice timeline now, not the week of notices.</w:t>
      </w:r>
    </w:p>
    <w:p>
      <w:pPr>
        <w:pStyle w:val="Heading2"/>
      </w:pPr>
      <w:r>
        <w:t>5. Separate Matter — Flagging, Not Folding In</w:t>
      </w:r>
    </w:p>
    <w:p>
      <w:r>
        <w:t>I understand a new supervisor harassment complaint has come in separately. I want to confirm with Clement that this is being treated as its own matter, on its own timeline, and is not being folded into the RIF selection review. Mixing the two creates exactly the kind of record that looks retaliatory even when it is not — if the complainant's role or manager overlaps with any RIF site, that needs to be flagged to me immediately, before either process moves forward.</w:t>
      </w:r>
    </w:p>
    <w:p>
      <w:pPr>
        <w:pStyle w:val="Heading2"/>
      </w:pPr>
      <w:r>
        <w:t>6. Recommended Next Steps</w:t>
      </w:r>
    </w:p>
    <w:p>
      <w:pPr>
        <w:pStyle w:val="ListNumber"/>
      </w:pPr>
      <w:r>
        <w:t>Complete the adverse impact analysis and resolve the Halden, Northmoor, and Verity Grain flags before any manager is told their proposed selections are final — rubric scores and pools are in hand; protected-activity cross-check to follow this week.</w:t>
      </w:r>
    </w:p>
    <w:p>
      <w:pPr>
        <w:pStyle w:val="ListNumber"/>
      </w:pPr>
      <w:r>
        <w:t>Lock a single selection rubric and require every manager to complete the one-page justification using it, with priority given to the three flagged sites.</w:t>
      </w:r>
    </w:p>
    <w:p>
      <w:pPr>
        <w:pStyle w:val="ListNumber"/>
      </w:pPr>
      <w:r>
        <w:t>Confirm WARN Act notice obligations and build the notice calendar backward from the separation date.</w:t>
      </w:r>
    </w:p>
    <w:p>
      <w:pPr>
        <w:pStyle w:val="ListNumber"/>
      </w:pPr>
      <w:r>
        <w:t>Confirm with Clement Abioye that the new supervisor harassment complaint is a separate matter and check it against the RIF site list for any overlap.</w:t>
      </w:r>
    </w:p>
    <w:p>
      <w:pPr>
        <w:pStyle w:val="ListNumber"/>
      </w:pPr>
      <w:r>
        <w:t>Schedule a 30-minute call with me before Thursday to walk through the Halden, Northmoor, and Verity Grain outliers and any other selections that show up as statistical outliers.</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