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Wage-and-Hour Comparator Methodology Note</w:t>
      </w:r>
    </w:p>
    <w:p>
      <w:r>
        <w:t>For the file. Prepared by Petra Kovacs, Associate, Employment. This note documents the methodology used to select and analyze comparator exempt titles in connection with the ongoing duties-test comparison work reflected in the working comparison memorandum (the 'comparison memo'). It is prepared at Mira Chandrasekhar's request to create durable documentation of the comparator selection and analysis approach independent of the cycle-by-cycle revision history, so that a reader who was not present for the intake calls can understand why particular titles were chosen and how each comparison was performed.</w:t>
      </w:r>
    </w:p>
    <w:p>
      <w:pPr>
        <w:pStyle w:val="Heading2"/>
      </w:pPr>
      <w:r>
        <w:t>1. Purpose and Scope</w:t>
      </w:r>
    </w:p>
    <w:p>
      <w:r>
        <w:t>The comparison memo proceeds title-by-title, in descending order of exempt headcount, performing a duties-test comparison for each title against the applicable exemption standard. As of this note, comparisons for the eighteen highest-headcount exempt titles have been completed, with the nineteenth-highest-headcount title identified as the next comparison. This note does not restate those substantive findings. Its purpose is narrower: to record, in one place, (a) how the universe of comparator titles was defined and ranked, (b) what sources were used to determine duties actually performed, (c) the analytic steps applied to each title, and (d) the limitations a reader should bear in mind when relying on the comparison memo.</w:t>
      </w:r>
    </w:p>
    <w:p>
      <w:pPr>
        <w:pStyle w:val="Heading2"/>
      </w:pPr>
      <w:r>
        <w:t>2. Comparator Selection Methodology</w:t>
      </w:r>
    </w:p>
    <w:p>
      <w:r>
        <w:t>Comparator titles were drawn from the client's current exempt-title roster and ranked by headcount, highest first, on the theory that titles with the largest number of incumbents present the greatest aggregate wage-and-hour exposure if the exemption analysis does not hold up, and that a misclassification finding as to a high-headcount title is more consequential than the same finding as to a title held by one or two people. The ranking was fixed at the outset of the review and has not been re-run mid-cycle; a title's rank reflects headcount as of the snapshot used to open the review, not current headcount. This is a known limitation, addressed in Section 5 below.</w:t>
      </w:r>
    </w:p>
    <w:p>
      <w:pPr>
        <w:pStyle w:val="ListNumber"/>
      </w:pPr>
      <w:r>
        <w:t>The exempt-title roster was pulled from the client's HRIS export and deduplicated by title code, not by title name, to avoid conflating similarly named but organizationally distinct roles.</w:t>
      </w:r>
    </w:p>
    <w:p>
      <w:pPr>
        <w:pStyle w:val="ListNumber"/>
      </w:pPr>
      <w:r>
        <w:t>Titles were ranked by headcount, highest to lowest.</w:t>
      </w:r>
    </w:p>
    <w:p>
      <w:pPr>
        <w:pStyle w:val="ListNumber"/>
      </w:pPr>
      <w:r>
        <w:t>Each title is analyzed in rank order, one per review cycle, so that the highest-exposure titles are addressed first and the record shows, at any point, exactly how far the review has progressed.</w:t>
      </w:r>
    </w:p>
    <w:p>
      <w:pPr>
        <w:pStyle w:val="Heading2"/>
      </w:pPr>
      <w:r>
        <w:t>3. Sources of Duties Information</w:t>
      </w:r>
    </w:p>
    <w:p>
      <w:r>
        <w:t>For each title, the duties-test comparison draws on three categories of source material, considered together rather than in isolation, because job descriptions alone are known to overstate the discretionary and managerial content of a role relative to what incumbents actually do day to day.</w:t>
      </w:r>
    </w:p>
    <w:p>
      <w:pPr>
        <w:pStyle w:val="ListBullet"/>
      </w:pPr>
      <w:r>
        <w:t>The current written job description on file with HR for the title.</w:t>
      </w:r>
    </w:p>
    <w:p>
      <w:pPr>
        <w:pStyle w:val="ListBullet"/>
      </w:pPr>
      <w:r>
        <w:t>Any HR waiver confirmation on file indicating that HR has separately reviewed and confirmed (or flagged as unconfirmed) the exemption classification for that title.</w:t>
      </w:r>
    </w:p>
    <w:p>
      <w:pPr>
        <w:pStyle w:val="ListBullet"/>
      </w:pPr>
      <w:r>
        <w:t>Batch materials produced by the client (referenced in the comparison memo as BATCH-004 and BATCH-008) containing incumbent-level detail bearing on actual duties performed, used to test whether the written job description is consistent with practice.</w:t>
      </w:r>
    </w:p>
    <w:p>
      <w:pPr>
        <w:pStyle w:val="Heading2"/>
      </w:pPr>
      <w:r>
        <w:t>4. Analytic Steps Applied to Each Title</w:t>
      </w:r>
    </w:p>
    <w:p>
      <w:pPr>
        <w:pStyle w:val="ListNumber"/>
      </w:pPr>
      <w:r>
        <w:t>Identify the applicable exemption category asserted for the title (executive, administrative, or professional) and the corresponding duties-test elements that must be satisfied under the governing standard.</w:t>
      </w:r>
    </w:p>
    <w:p>
      <w:pPr>
        <w:pStyle w:val="ListNumber"/>
      </w:pPr>
      <w:r>
        <w:t>Compare the written job description against each duties-test element and note, element by element, whether the description supports, is silent on, or cuts against exempt status.</w:t>
      </w:r>
    </w:p>
    <w:p>
      <w:pPr>
        <w:pStyle w:val="ListNumber"/>
      </w:pPr>
      <w:r>
        <w:t>Cross-check the job description against BATCH-004/BATCH-008 incumbent-level materials, where available for the title, to identify any material divergence between described duties and duties actually performed.</w:t>
      </w:r>
    </w:p>
    <w:p>
      <w:pPr>
        <w:pStyle w:val="ListNumber"/>
      </w:pPr>
      <w:r>
        <w:t>Note whether an HR waiver confirmation exists for the title and, if so, whether it corroborates or is in tension with the duties-test analysis.</w:t>
      </w:r>
    </w:p>
    <w:p>
      <w:pPr>
        <w:pStyle w:val="ListNumber"/>
      </w:pPr>
      <w:r>
        <w:t>Record a conclusion for the title (supports exemption, does not support exemption, or mixed/uncertain) and file it as a new numbered subsection in Section 4A of the comparison memo, following the prior subsection in sequence.</w:t>
      </w:r>
    </w:p>
    <w:p>
      <w:pPr>
        <w:pStyle w:val="ListNumber"/>
      </w:pPr>
      <w:r>
        <w:t>Add a corresponding row to the Section 4A comparison-status table, update the Section 5 status notes to reflect the new completed count, update Section 6 to name the next title in rank order, and update Section 7's status summary accordingly.</w:t>
      </w:r>
    </w:p>
    <w:p>
      <w:pPr>
        <w:pStyle w:val="Heading2"/>
      </w:pPr>
      <w:r>
        <w:t>5. Known Limitations</w:t>
      </w:r>
    </w:p>
    <w:p>
      <w:pPr>
        <w:pStyle w:val="ListBullet"/>
      </w:pPr>
      <w:r>
        <w:t>Headcount ranking is fixed as of the original snapshot and has not been refreshed; a title's current headcount may differ from the rank assigned to it in Section 4A.</w:t>
      </w:r>
    </w:p>
    <w:p>
      <w:pPr>
        <w:pStyle w:val="ListBullet"/>
      </w:pPr>
      <w:r>
        <w:t>BATCH-004/BATCH-008 materials do not cover every title; where incumbent-level detail is unavailable, the comparison for that title rests more heavily on the written job description than the methodology otherwise prefers.</w:t>
      </w:r>
    </w:p>
    <w:p>
      <w:pPr>
        <w:pStyle w:val="ListBullet"/>
      </w:pPr>
      <w:r>
        <w:t>A separate, unresolved formatting issue affecting headings and structure in the comparison memo has been flagged across multiple revision cycles and remains open; it does not affect the substance of any individual comparison but should be corrected before the memo is treated as a finished work product.</w:t>
      </w:r>
    </w:p>
    <w:p>
      <w:pPr>
        <w:pStyle w:val="ListBullet"/>
      </w:pPr>
      <w:r>
        <w:t>This note describes the method applied to comparisons completed through the eighteenth-highest-headcount title. If the method is changed in a later cycle, this note should be revised to say so rather than silently superseded.</w:t>
      </w:r>
    </w:p>
    <w:p>
      <w:pPr>
        <w:pStyle w:val="Heading2"/>
      </w:pPr>
      <w:r>
        <w:t>6. Status as of This Note</w:t>
      </w:r>
    </w:p>
    <w:p>
      <w:r>
        <w:t>Eighteen of the exempt titles on the ranked roster have completed duties-test comparisons (4A.1 through 4A.18). The nineteenth-highest-headcount title is next in the queue. The rounding-practice analysis and the HR waiver confirmation item referenced in the comparison memo are unaffected by this note and remain as previously documented there.</w:t>
      </w:r>
    </w:p>
    <w:p>
      <w:pPr>
        <w:pStyle w:val="Heading2"/>
      </w:pPr>
      <w:r>
        <w:t>7. Distribution</w:t>
      </w:r>
    </w:p>
    <w:p>
      <w:r>
        <w:t>Prepared for the file at Mira Chandrasekhar's request, for durable reference independent of the comparison memo's own revision-cycle summaries. For the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