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Escalation Protocol – Clean Go-Ahead Threshold</w:t>
      </w:r>
    </w:p>
    <w:p>
      <w:r>
        <w:t>Recorded contemporaneously following today's 09:28 status meeting, at the request of Adaora and Ulrich, to ensure this decision is captured in the tracker rather than reconstructed after the fact. This entry supplements, and does not replace, the open-items log maintained in the APA redline tracker (doc-166/doc-188).</w:t>
      </w:r>
    </w:p>
    <w:p>
      <w:pPr>
        <w:pStyle w:val="Heading2"/>
      </w:pPr>
      <w:r>
        <w:t>Background</w:t>
      </w:r>
    </w:p>
    <w:p>
      <w:r>
        <w:t>The 6.2(d) MIP cross-check remains the sole tracked exception to final-form status on the Article 4-7 redline. Whitfield/Sandhurst have not confirmed receipt of the figures per Quentin, and the matter has now been escalated directly to Whitfield following a counsel call that did not resolve the question. At today's status meeting, Adaora and Ulrich asked that the team agree, in advance, on the threshold that would permit closing to proceed notwithstanding an unresolved 6.2(d), so that the standard does not have to be re-litigated if resolution slips further.</w:t>
      </w:r>
    </w:p>
    <w:p>
      <w:pPr>
        <w:pStyle w:val="Heading2"/>
      </w:pPr>
      <w:r>
        <w:t>Agreed Protocol</w:t>
      </w:r>
    </w:p>
    <w:p>
      <w:pPr>
        <w:pStyle w:val="ListNumber"/>
      </w:pPr>
      <w:r>
        <w:t>Clean go-ahead threshold: Closing may proceed on schedule if Whitfield confirms receipt of the MIP figures in writing by end of day two business days before the scheduled closing date, regardless of whether Sandhurst has separately reconciled the figures internally.</w:t>
      </w:r>
    </w:p>
    <w:p>
      <w:pPr>
        <w:pStyle w:val="ListNumber"/>
      </w:pPr>
      <w:r>
        <w:t>If written confirmation of receipt is not obtained by that date, Ingrid escalates directly to Whitfield's lead partner (not through Quentin/Dov's channel) and reports status to Adaora and Ulrich within four hours.</w:t>
      </w:r>
    </w:p>
    <w:p>
      <w:pPr>
        <w:pStyle w:val="ListNumber"/>
      </w:pPr>
      <w:r>
        <w:t>Absent written confirmation of receipt by the closing date itself, 6.2(d) is carved out of the closing deliverables as a post-closing covenant with a 10-business-day cure period, rather than serving as a condition to closing.</w:t>
      </w:r>
    </w:p>
    <w:p>
      <w:pPr>
        <w:pStyle w:val="ListNumber"/>
      </w:pPr>
      <w:r>
        <w:t>This threshold applies only to the receipt confirmation, not to substantive reconciliation of the MIP figures; a substantive dispute over the figures themselves is not resolved by this protocol and would require separate escalation.</w:t>
      </w:r>
    </w:p>
    <w:p>
      <w:pPr>
        <w:pStyle w:val="ListNumber"/>
      </w:pPr>
      <w:r>
        <w:t>No other open items (1-5, 7, 9 on the Article 4-7 tracker) are affected by this protocol and remain in their current follow-up-tomorrow status.</w:t>
      </w:r>
    </w:p>
    <w:p>
      <w:pPr>
        <w:pStyle w:val="Heading2"/>
      </w:pPr>
      <w:r>
        <w:t>Ownership and Reporting</w:t>
      </w:r>
    </w:p>
    <w:tbl>
      <w:tblPr>
        <w:tblW w:type="auto" w:w="0"/>
        <w:tblLook w:firstColumn="1" w:firstRow="1" w:lastColumn="0" w:lastRow="0" w:noHBand="0" w:noVBand="1" w:val="04A0"/>
      </w:tblPr>
      <w:tblGrid>
        <w:gridCol w:w="2160"/>
        <w:gridCol w:w="2160"/>
        <w:gridCol w:w="2160"/>
        <w:gridCol w:w="2160"/>
      </w:tblGrid>
      <w:tr>
        <w:tc>
          <w:tcPr>
            <w:tcW w:type="dxa" w:w="2160"/>
          </w:tcPr>
          <w:p>
            <w:r>
              <w:t>Item</w:t>
            </w:r>
          </w:p>
        </w:tc>
        <w:tc>
          <w:tcPr>
            <w:tcW w:type="dxa" w:w="2160"/>
          </w:tcPr>
          <w:p>
            <w:r>
              <w:t>Owner</w:t>
            </w:r>
          </w:p>
        </w:tc>
        <w:tc>
          <w:tcPr>
            <w:tcW w:type="dxa" w:w="2160"/>
          </w:tcPr>
          <w:p>
            <w:r>
              <w:t>Next Action</w:t>
            </w:r>
          </w:p>
        </w:tc>
        <w:tc>
          <w:tcPr>
            <w:tcW w:type="dxa" w:w="2160"/>
          </w:tcPr>
          <w:p>
            <w:r>
              <w:t>Trigger Date</w:t>
            </w:r>
          </w:p>
        </w:tc>
      </w:tr>
      <w:tr>
        <w:tc>
          <w:tcPr>
            <w:tcW w:type="dxa" w:w="2160"/>
          </w:tcPr>
          <w:p>
            <w:r>
              <w:t>Written confirmation of MIP receipt</w:t>
            </w:r>
          </w:p>
        </w:tc>
        <w:tc>
          <w:tcPr>
            <w:tcW w:type="dxa" w:w="2160"/>
          </w:tcPr>
          <w:p>
            <w:r>
              <w:t>Ingrid (direct to Whitfield)</w:t>
            </w:r>
          </w:p>
        </w:tc>
        <w:tc>
          <w:tcPr>
            <w:tcW w:type="dxa" w:w="2160"/>
          </w:tcPr>
          <w:p>
            <w:r>
              <w:t>Chase written confirmation</w:t>
            </w:r>
          </w:p>
        </w:tc>
        <w:tc>
          <w:tcPr>
            <w:tcW w:type="dxa" w:w="2160"/>
          </w:tcPr>
          <w:p>
            <w:r>
              <w:t>2 business days before closing</w:t>
            </w:r>
          </w:p>
        </w:tc>
      </w:tr>
      <w:tr>
        <w:tc>
          <w:tcPr>
            <w:tcW w:type="dxa" w:w="2160"/>
          </w:tcPr>
          <w:p>
            <w:r>
              <w:t>Escalation if unconfirmed</w:t>
            </w:r>
          </w:p>
        </w:tc>
        <w:tc>
          <w:tcPr>
            <w:tcW w:type="dxa" w:w="2160"/>
          </w:tcPr>
          <w:p>
            <w:r>
              <w:t>Ingrid</w:t>
            </w:r>
          </w:p>
        </w:tc>
        <w:tc>
          <w:tcPr>
            <w:tcW w:type="dxa" w:w="2160"/>
          </w:tcPr>
          <w:p>
            <w:r>
              <w:t>Escalate to Whitfield lead partner; notify Adaora/Ulrich</w:t>
            </w:r>
          </w:p>
        </w:tc>
        <w:tc>
          <w:tcPr>
            <w:tcW w:type="dxa" w:w="2160"/>
          </w:tcPr>
          <w:p>
            <w:r>
              <w:t>Same day, within 4 hours of deadline miss</w:t>
            </w:r>
          </w:p>
        </w:tc>
      </w:tr>
      <w:tr>
        <w:tc>
          <w:tcPr>
            <w:tcW w:type="dxa" w:w="2160"/>
          </w:tcPr>
          <w:p>
            <w:r>
              <w:t>Fallback covenant drafting (6.2(d))</w:t>
            </w:r>
          </w:p>
        </w:tc>
        <w:tc>
          <w:tcPr>
            <w:tcW w:type="dxa" w:w="2160"/>
          </w:tcPr>
          <w:p>
            <w:r>
              <w:t>Ingrid</w:t>
            </w:r>
          </w:p>
        </w:tc>
        <w:tc>
          <w:tcPr>
            <w:tcW w:type="dxa" w:w="2160"/>
          </w:tcPr>
          <w:p>
            <w:r>
              <w:t>Draft post-closing covenant/cure language</w:t>
            </w:r>
          </w:p>
        </w:tc>
        <w:tc>
          <w:tcPr>
            <w:tcW w:type="dxa" w:w="2160"/>
          </w:tcPr>
          <w:p>
            <w:r>
              <w:t>Only if unconfirmed at closing</w:t>
            </w:r>
          </w:p>
        </w:tc>
      </w:tr>
    </w:tbl>
    <w:p>
      <w:pPr>
        <w:pStyle w:val="Heading2"/>
      </w:pPr>
      <w:r>
        <w:t>Why This Is Being Logged Now</w:t>
      </w:r>
    </w:p>
    <w:p>
      <w:r>
        <w:t>Adaora and Ulrich specifically flagged that the last three days of 09:28 status meetings produced no captured action items, and asked that decisions be logged into the checklist/tracker in real time going forward. This entry is that log. It will be reflected as a discrete line item in the next revision of the APA Article 4-7 tracker (following doc-188) and cross-referenced in the Sandhurst Closing Checklist under the 6.2(d) exception 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