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STOCK PURCHASE AGREEMENT</w:t>
      </w:r>
    </w:p>
    <w:p>
      <w:r>
        <w:t>This Stock Purchase Agreement (this "Agreement") is made and entered into as of [_____], 2025 (the "Effective Date"), by and among Sandhurst Holdings, Inc., a Delaware corporation ("Buyer"), Whitfield, Inc., an Ohio corporation (the "Company"), and the shareholders of the Company listed on Schedule A hereto (each a "Seller" and collectively, the "Sellers"). Buyer, the Company, and the Sellers are referred to herein individually as a "Party" and collectively as the "Parties".</w:t>
      </w:r>
    </w:p>
    <w:p>
      <w:pPr>
        <w:pStyle w:val="Heading2"/>
      </w:pPr>
      <w:r>
        <w:t>RECITALS</w:t>
      </w:r>
    </w:p>
    <w:p>
      <w:r>
        <w:t>WHEREAS, the Sellers own all of the issued and outstanding shares of capital stock of the Company (the "Shares"); WHEREAS, the Sellers desire to sell, and Buyer desires to purchase, the Shares upon the terms and subject to the conditions set forth in this Agreement; and WHEREAS, the Parties intend that this transaction be consummated as an add-on acquisition to Buyer's existing platform investment.</w:t>
      </w:r>
    </w:p>
    <w:p>
      <w:pPr>
        <w:pStyle w:val="Heading2"/>
      </w:pPr>
      <w:r>
        <w:t>ARTICLE I — PURCHASE AND SALE OF SHARES</w:t>
      </w:r>
    </w:p>
    <w:p>
      <w:r>
        <w:t>1.1 Purchase and Sale. Upon the terms and subject to the conditions set forth in this Agreement, at the Closing, the Sellers shall sell, transfer, convey, assign, and deliver to Buyer, and Buyer shall purchase and acquire from the Sellers, all of the Shares, free and clear of all liens, claims, and encumbrances, other than restrictions on transfer arising under applicable securities laws.</w:t>
      </w:r>
    </w:p>
    <w:p>
      <w:r>
        <w:t>1.2 Purchase Price. The aggregate purchase price for the Shares shall be as set forth in the term sheet incorporated by reference in Schedule B, subject to adjustment as set forth in Article II.</w:t>
      </w:r>
    </w:p>
    <w:p>
      <w:pPr>
        <w:pStyle w:val="Heading2"/>
      </w:pPr>
      <w:r>
        <w:t>ARTICLE II — CLOSING</w:t>
      </w:r>
    </w:p>
    <w:p>
      <w:r>
        <w:t>2.1 Closing. The closing of the transactions contemplated by this Agreement (the "Closing") shall take place remotely via electronic exchange of documents and signatures on the date that is three (3) business days following satisfaction or waiver of the conditions set forth in Article VII (the "Closing Date"), or on such other date as the Parties may mutually agree in writing.</w:t>
      </w:r>
    </w:p>
    <w:p>
      <w:r>
        <w:t>2.2 Closing Deliverables of Sellers. At the Closing, the Sellers shall deliver, or cause to be delivered, to Buyer: (a) certificates representing the Shares, duly endorsed for transfer; (b) a certificate of good standing for the Company issued by the Secretary of State of the State of Ohio, dated not more than ten (10) business days prior to the Closing Date; (c) a certificate of good standing for Buyer's Delaware affiliate entity, if applicable; (d) the executed estoppel certificate from the landlord under the Company's Whitfield facility lease, incorporating the agreed limited liability carve-out, in form and substance satisfactory to Buyer; and (e) such other documents as are customary for a transaction of this type.</w:t>
      </w:r>
    </w:p>
    <w:p>
      <w:r>
        <w:t>2.3 Outstanding Closing Deliverables. As of the date of this draft, the Company's Ohio good standing certificate and Whitfield, Inc.'s own certificate of good standing remain outstanding, with no change in status since the prior draft; Whitfield's counsel has not responded, and the Sellers, together with Buyer's counsel, have escalated directly with the Company's registered agent to obtain these certificates, including a request for written confirmation of Ohio good standing status pending delivery of the certificate itself. The landlord estoppel certificate referenced in Section 2.2(d) has been executed and delivered, incorporating the agreed limited liability carve-out, and Buyer's affiliate Delaware good standing certificate referenced in Section 2.2(c) has been received. Of the good-standing and related closing deliverables tracked in connection with this Agreement, eleven of twelve items are now resolved; the Ohio good standing certificate and Whitfield's own good standing certificate remain the two outstanding items. The Parties acknowledge that delivery of the outstanding OH and Whitfield certificates as described in Section 2.2(b) remains a condition to Closing under Article VII, and the Sellers shall use commercially reasonable efforts to obtain and deliver such certificates prior to the Closing Date.</w:t>
      </w:r>
    </w:p>
    <w:p>
      <w:pPr>
        <w:pStyle w:val="Heading2"/>
      </w:pPr>
      <w:r>
        <w:t>ARTICLE III — REPRESENTATIONS AND WARRANTIES OF THE COMPANY AND SELLERS</w:t>
      </w:r>
    </w:p>
    <w:p>
      <w:r>
        <w:t>3.1 Organization and Good Standing. Except as disclosed in Schedule 3.1, the Company is a corporation duly organized, validly existing, and in good standing under the laws of the State of Ohio, and has all requisite corporate power and authority to own, lease, and operate its properties and to carry on its business as presently conducted. The Sellers acknowledge that, as of the date hereof, a certificate evidencing such good standing has been requested from the Ohio Secretary of State and, following continued non-response from Whitfield's counsel, has also been escalated directly with the Company's registered agent, but has not yet been received; delivery of such certificate remains a Closing condition under Article VII and is not waived by execution of this Agreement.</w:t>
      </w:r>
    </w:p>
    <w:p>
      <w:r>
        <w:t>3.2 Real Property; Leases. Schedule 3.2 sets forth a true and complete list of all real property leased by the Company, including the facility lease with respect to which the landlord has executed and delivered an estoppel certificate incorporating a limited liability carve-out in favor of the Company and its successors, satisfactory to Buyer. This leasehold matter is fully resolved as of the date hereof; no other leasehold matters remain open.</w:t>
      </w:r>
    </w:p>
    <w:p>
      <w:pPr>
        <w:pStyle w:val="Heading2"/>
      </w:pPr>
      <w:r>
        <w:t>ARTICLE VII — CONDITIONS TO CLOSING</w:t>
      </w:r>
    </w:p>
    <w:p>
      <w:r>
        <w:t>7.1 Conditions to Obligations of Buyer. The obligation of Buyer to consummate the transactions contemplated by this Agreement is subject to the satisfaction, on or prior to the Closing Date, of each of the following conditions, any of which may be waived in writing by Buyer: (a) the representations and warranties of the Company and the Sellers set forth in Article III shall be true and correct in all material respects as of the Closing Date; (b) the Company shall have delivered a certificate of good standing issued by the Ohio Secretary of State, dated within ten (10) business days of the Closing Date; (c) Whitfield, Inc. shall have delivered its own certificate of good standing; (d) the landlord estoppel certificate referenced in Section 3.2, reflecting the agreed limited liability carve-out, shall have been executed and delivered; and (e) no material adverse change shall have occurred with respect to the Company since the date of this Agreement.</w:t>
      </w:r>
    </w:p>
    <w:p>
      <w:r>
        <w:t>7.2 Status of Conditions as of Draft Date. As of the circulation of this draft, the condition in Section 7.1(d) has been satisfied, and Buyer's affiliate Delaware good standing referenced in Section 2.2(c) has also been received and is not an open item. Of the twelve good-standing and related items tracked in connection with the Article VII closing conditions and related deliverables, eleven have now been resolved; the conditions in Sections 7.1(b) and 7.1(c) remain the sole outstanding items, unchanged in status from the prior draft, and are the subject of ongoing escalation directly with the Company's registered agent, following continued non-response from the Company's counsel. This draft does not reflect any new movement on Sections 7.1(b) or 7.1(c) and these items will only be updated again upon actual receipt of the certificates or written confirmation from the registered agent.</w:t>
      </w:r>
    </w:p>
    <w:p>
      <w:pPr>
        <w:pStyle w:val="Heading2"/>
      </w:pPr>
      <w:r>
        <w:t>OPEN DRAFTING NOTES</w:t>
      </w:r>
    </w:p>
    <w:p>
      <w:pPr>
        <w:pStyle w:val="ListNumber"/>
      </w:pPr>
      <w:r>
        <w:t>Section 2.2(b) and Section 7.1(b)/(c): bracketed language to be finalized once OH good standing and Whitfield's own good standing certificate are received; these remain the two outstanding items (11 of 12 tracked good-standing/related items now resolved) with no change since the prior draft, notwithstanding resolution of the estoppel and DE good standing items — do not treat as satisfied based on those resolutions.</w:t>
      </w:r>
    </w:p>
    <w:p>
      <w:pPr>
        <w:pStyle w:val="ListNumber"/>
      </w:pPr>
      <w:r>
        <w:t>Section 3.2 carve-out language has been conformed to the final landlord-executed estoppel certificate now received in execution form.</w:t>
      </w:r>
    </w:p>
    <w:p>
      <w:pPr>
        <w:pStyle w:val="ListNumber"/>
      </w:pPr>
      <w:r>
        <w:t>Schedule B (Purchase Price mechanics) to be populated from the term sheet once confirmed by deal team.</w:t>
      </w:r>
    </w:p>
    <w:p>
      <w:pPr>
        <w:pStyle w:val="ListNumber"/>
      </w:pPr>
      <w:r>
        <w:t>Escalation for the OH good standing certificate and Whitfield's own certificate is now proceeding directly with the Company's registered agent (rather than through Whitfield's counsel, who has not responded); confirm whether a post-closing covenant requiring delivery of the outstanding OH/Whitfield certificates within a stated post-closing period is acceptable in lieu of a Closing condition, if this direct escalation does not resolve the matter before the target Closing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