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Fee Estimate – Sandhurst / Odell-Whitfield Closing</w:t>
      </w:r>
    </w:p>
    <w:p>
      <w:r>
        <w:t>Prepared for Imelda Frost ahead of the board call. This estimate reflects status as of tonight, including the still-unconfirmed Odell/Whitfield ancillary docs split and the estoppel count now tracking to 4/14. Quentin did not return tonight's requested confirmation on either item; the ask has been reset to first thing tomorrow morning. Samir has confirmed the checklist side of the split.</w:t>
      </w:r>
    </w:p>
    <w:p>
      <w:pPr>
        <w:pStyle w:val="Heading2"/>
      </w:pPr>
      <w:r>
        <w:t>Basis for Estimate</w:t>
      </w:r>
    </w:p>
    <w:p>
      <w:pPr>
        <w:pStyle w:val="ListBullet"/>
      </w:pPr>
      <w:r>
        <w:t>Odell/Whitfield ancillary documents split: single-owner split endorsed (Samir on checklist, Quentin on Odell/Whitfield); Samir's side confirmed, Quentin's confirmation now expected tomorrow morning after no callback tonight.</w:t>
      </w:r>
    </w:p>
    <w:p>
      <w:pPr>
        <w:pStyle w:val="ListBullet"/>
      </w:pPr>
      <w:r>
        <w:t>Good standing certificate: complete (11/12 items on checklist).</w:t>
      </w:r>
    </w:p>
    <w:p>
      <w:pPr>
        <w:pStyle w:val="ListBullet"/>
      </w:pPr>
      <w:r>
        <w:t>Estoppel certificates: 2 outstanding of original count, tracking to 4/14; count unchanged, pending Quentin's firm ETA tomorrow morning.</w:t>
      </w:r>
    </w:p>
    <w:p>
      <w:pPr>
        <w:pStyle w:val="ListBullet"/>
      </w:pPr>
      <w:r>
        <w:t>Closing checklist: reviewer notes appended without rewriting existing sign-offs; no signature page circulates until every condition precedent carries an owner's initials - hard gate, not a scheduling preference.</w:t>
      </w:r>
    </w:p>
    <w:p>
      <w:pPr>
        <w:pStyle w:val="ListBullet"/>
      </w:pPr>
      <w:r>
        <w:t>Target closing: this quarter, contingent on the split resolving and the estoppel count confirming as firm, not aspirational; firm numbers now expected from Quentin tomorrow morning.</w:t>
      </w:r>
    </w:p>
    <w:p>
      <w:pPr>
        <w:pStyle w:val="Heading2"/>
      </w:pPr>
      <w:r>
        <w:t>Fee Estimate by Workstream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Est. Hours to Complete</w:t>
            </w:r>
          </w:p>
        </w:tc>
        <w:tc>
          <w:tcPr>
            <w:tcW w:type="dxa" w:w="2160"/>
          </w:tcPr>
          <w:p>
            <w:r>
              <w:t>Est. Fees</w:t>
            </w:r>
          </w:p>
        </w:tc>
      </w:tr>
      <w:tr>
        <w:tc>
          <w:tcPr>
            <w:tcW w:type="dxa" w:w="2160"/>
          </w:tcPr>
          <w:p>
            <w:r>
              <w:t>Closing checklist / conditions precedent tracking</w:t>
            </w:r>
          </w:p>
        </w:tc>
        <w:tc>
          <w:tcPr>
            <w:tcW w:type="dxa" w:w="2160"/>
          </w:tcPr>
          <w:p>
            <w:r>
              <w:t>In progress - Samir confirmed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$12,800</w:t>
            </w:r>
          </w:p>
        </w:tc>
      </w:tr>
      <w:tr>
        <w:tc>
          <w:tcPr>
            <w:tcW w:type="dxa" w:w="2160"/>
          </w:tcPr>
          <w:p>
            <w:r>
              <w:t>Estoppel certificates (2 outstanding)</w:t>
            </w:r>
          </w:p>
        </w:tc>
        <w:tc>
          <w:tcPr>
            <w:tcW w:type="dxa" w:w="2160"/>
          </w:tcPr>
          <w:p>
            <w:r>
              <w:t>In progress, targeting 4/14, count unchanged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$7,200</w:t>
            </w:r>
          </w:p>
        </w:tc>
      </w:tr>
      <w:tr>
        <w:tc>
          <w:tcPr>
            <w:tcW w:type="dxa" w:w="2160"/>
          </w:tcPr>
          <w:p>
            <w:r>
              <w:t>Odell/Whitfield ancillary docs split</w:t>
            </w:r>
          </w:p>
        </w:tc>
        <w:tc>
          <w:tcPr>
            <w:tcW w:type="dxa" w:w="2160"/>
          </w:tcPr>
          <w:p>
            <w:r>
              <w:t>Awaiting Quentin's firm confirmation tomorrow AM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$6,400</w:t>
            </w:r>
          </w:p>
        </w:tc>
      </w:tr>
      <w:tr>
        <w:tc>
          <w:tcPr>
            <w:tcW w:type="dxa" w:w="2160"/>
          </w:tcPr>
          <w:p>
            <w:r>
              <w:t>Good standing certification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Closing set preparation and signature page assembly</w:t>
            </w:r>
          </w:p>
        </w:tc>
        <w:tc>
          <w:tcPr>
            <w:tcW w:type="dxa" w:w="2160"/>
          </w:tcPr>
          <w:p>
            <w:r>
              <w:t>Not started - gated on CP initials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$9,600</w:t>
            </w:r>
          </w:p>
        </w:tc>
      </w:tr>
      <w:tr>
        <w:tc>
          <w:tcPr>
            <w:tcW w:type="dxa" w:w="2160"/>
          </w:tcPr>
          <w:p>
            <w:r>
              <w:t>General deal management / escalation calls</w:t>
            </w:r>
          </w:p>
        </w:tc>
        <w:tc>
          <w:tcPr>
            <w:tcW w:type="dxa" w:w="2160"/>
          </w:tcPr>
          <w:p>
            <w:r>
              <w:t>Ongoing - includes tonight's follow-up and reset ask to Quentin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$5,600</w:t>
            </w:r>
          </w:p>
        </w:tc>
      </w:tr>
    </w:tbl>
    <w:p>
      <w:pPr>
        <w:pStyle w:val="Heading2"/>
      </w:pPr>
      <w:r>
        <w:t>Total Estimated Fees to Close</w:t>
      </w:r>
    </w:p>
    <w:p>
      <w:r>
        <w:t>$41,600, assuming no further slippage on the estoppel count or reopening of the ancillary docs split. Each week of delay on either item adds an estimated $3,500-$5,000 in incremental fees from repeated escalation calls and checklist re-review. Tonight's non-response from Quentin has not yet been booked as slippage, but if tomorrow morning's confirmation also slips, expect the low end of that range to apply.</w:t>
      </w:r>
    </w:p>
    <w:p>
      <w:pPr>
        <w:pStyle w:val="Heading2"/>
      </w:pPr>
      <w:r>
        <w:t>Risk to Estimate</w:t>
      </w:r>
    </w:p>
    <w:p>
      <w:pPr>
        <w:pStyle w:val="ListNumber"/>
      </w:pPr>
      <w:r>
        <w:t>Quentin did not return tonight's requested firm split confirmation and estoppel count; the ask has been reset to first thing tomorrow morning. If that also slips, timeline and fee estimate both move.</w:t>
      </w:r>
    </w:p>
    <w:p>
      <w:pPr>
        <w:pStyle w:val="ListNumber"/>
      </w:pPr>
      <w:r>
        <w:t>4/14 estoppel target is not yet firm; being presented internally as targeting, not committed, until Quentin's count is confirmed.</w:t>
      </w:r>
    </w:p>
    <w:p>
      <w:pPr>
        <w:pStyle w:val="ListNumber"/>
      </w:pPr>
      <w:r>
        <w:t>No signature page will circulate until every condition precedent has an owner's initials on the checklist - this is a hard gate, not a scheduling preference.</w:t>
      </w:r>
    </w:p>
    <w:p>
      <w:pPr>
        <w:pStyle w:val="ListNumber"/>
      </w:pPr>
      <w:r>
        <w:t>Unrelated: no impact expected on this estimate from the separate supplier counterclaim decision (holding position, no filing) or the Ardmore elevator acquisition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