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Closing Checklist Status Report — Sandhurst Platform Acquisition</w:t>
      </w:r>
    </w:p>
    <w:p>
      <w:r>
        <w:t>This report summarizes the current status of open closing checklist items as of today, following today's Corporate deal status call, for the deal team's reference. One item remains open; three items have closed since the last update.</w:t>
      </w:r>
    </w:p>
    <w:p>
      <w:pPr>
        <w:pStyle w:val="Heading2"/>
      </w:pPr>
      <w:r>
        <w:t>Closed Since Last Update</w:t>
      </w:r>
    </w:p>
    <w:p>
      <w:pPr>
        <w:pStyle w:val="ListBullet"/>
      </w:pPr>
      <w:r>
        <w:t>Secretary's Certificate — closed. Signer confirmation and execution timing were tracked with Quentin and have been resolved.</w:t>
      </w:r>
    </w:p>
    <w:p>
      <w:pPr>
        <w:pStyle w:val="ListBullet"/>
      </w:pPr>
      <w:r>
        <w:t>Delaware good standing certificate (Sandhurst Real Estate Holdco LLC) — closed. 12 of 12 certificates now in hand; escalation to Whitfield's counsel resolved the last outstanding jurisdiction. Confirmed to Dov, Samir, and Ingrid. See Memorandum — Delaware Good Standing Certificate Follow-Up (Sandhurst Real Estate Holdco LLC) for background.</w:t>
      </w:r>
    </w:p>
    <w:p>
      <w:pPr>
        <w:pStyle w:val="ListBullet"/>
      </w:pPr>
      <w:r>
        <w:t>Item #10 — MIP mechanics ratchet fix — closed. Independently confirmed by both Quentin Sarr and Samir Bhatt; see Changelog below.</w:t>
      </w:r>
    </w:p>
    <w:p>
      <w:pPr>
        <w:pStyle w:val="Heading2"/>
      </w:pPr>
      <w:r>
        <w:t>Open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Odell/Whitfield estoppel certificates</w:t>
            </w:r>
          </w:p>
        </w:tc>
        <w:tc>
          <w:tcPr>
            <w:tcW w:type="dxa" w:w="2160"/>
          </w:tcPr>
          <w:p>
            <w:r>
              <w:t>2 of 3 received; escalated to Whitfield's counsel; pending callback</w:t>
            </w:r>
          </w:p>
        </w:tc>
        <w:tc>
          <w:tcPr>
            <w:tcW w:type="dxa" w:w="2160"/>
          </w:tcPr>
          <w:p>
            <w:r>
              <w:t>Quentin (owner, closeout)</w:t>
            </w:r>
          </w:p>
        </w:tc>
        <w:tc>
          <w:tcPr>
            <w:tcW w:type="dxa" w:w="2160"/>
          </w:tcPr>
          <w:p>
            <w:r>
              <w:t>Mira has confirmed Quentin owns closing out this item. Escalation trigger has passed; no callback received yet despite outreach. Ancillary docs/staffing split also remains open pending this callback. This is now the sole remaining item blocking the signature page.</w:t>
            </w:r>
          </w:p>
        </w:tc>
      </w:tr>
      <w:tr>
        <w:tc>
          <w:tcPr>
            <w:tcW w:type="dxa" w:w="2160"/>
          </w:tcPr>
          <w:p>
            <w:r>
              <w:t>APA drafting notes (Articles 4–7)</w:t>
            </w:r>
          </w:p>
        </w:tc>
        <w:tc>
          <w:tcPr>
            <w:tcW w:type="dxa" w:w="2160"/>
          </w:tcPr>
          <w:p>
            <w:r>
              <w:t>Updated; under review</w:t>
            </w:r>
          </w:p>
        </w:tc>
        <w:tc>
          <w:tcPr>
            <w:tcW w:type="dxa" w:w="2160"/>
          </w:tcPr>
          <w:p>
            <w:r>
              <w:t>Ingrid (reviewer)</w:t>
            </w:r>
          </w:p>
        </w:tc>
        <w:tc>
          <w:tcPr>
            <w:tcW w:type="dxa" w:w="2160"/>
          </w:tcPr>
          <w:p>
            <w:r>
              <w:t>Drafting notes in Sections 4.1, 6.2, and 7.1 have been revised to reflect that Delaware good standing is now fully closed (12 of 12 certificates in hand); Secretary's Certificate signer resolution noted accordingly. Section 4.3 and the status note updated to retain the Odell/Whitfield estoppel as the sole remaining open item, with ownership reflected as Quentin's and noting Mira is no longer directly chasing it. Per Ingrid's go-ahead, substantive drafting has advanced elsewhere: Section 7.1 proposes a 5-business-day standard for the good standing certificate day count, and a new Section 4.5 (Employee Matters) representation on wage-and-hour disclosure has been added, consistent with ongoing diligence tracking. Mira is holding off on further edits pending Ingrid's review of the Articles 4-7 redline.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Checklist is otherwise clean apart from the Odell/Whitfield estoppel item; reaffirmed to Dov, Samir, and Quentin that the checklist stays open and no signature page goes out until that item is resolved.</w:t>
      </w:r>
    </w:p>
    <w:p>
      <w:pPr>
        <w:pStyle w:val="ListBullet"/>
      </w:pPr>
      <w:r>
        <w:t>MIP figures cross-check remains a separate open blocker: per team norm, this cannot be treated as resolved until Whitfield/Sandhurst confirm receipt of the corrected figures; that thread remains Quentin's to close out. This is distinct from Item #10 (MIP mechanics ratchet fix), which is now closed.</w:t>
      </w:r>
    </w:p>
    <w:p>
      <w:pPr>
        <w:pStyle w:val="Heading2"/>
      </w:pPr>
      <w:r>
        <w:t>Changelog</w:t>
      </w:r>
    </w:p>
    <w:p>
      <w:pPr>
        <w:pStyle w:val="ListBullet"/>
      </w:pPr>
      <w:r>
        <w:t>Item #10 (MIP mechanics ratchet fix) — closed. Independently confirmed by Quentin Sarr and Samir Bhatt.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