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Escalation Note — Odell/Whitfield Estoppel Certificate</w:t>
      </w:r>
    </w:p>
    <w:p>
      <w:r>
        <w:t>Matter: Sandhurst Platform Acquisition. Prepared by: Mira Chandrasekhar, Associate. Distribution: Ingrid, Quentin, Dov.</w:t>
      </w:r>
    </w:p>
    <w:p>
      <w:pPr>
        <w:pStyle w:val="Heading2"/>
      </w:pPr>
      <w:r>
        <w:t>Purpose</w:t>
      </w:r>
    </w:p>
    <w:p>
      <w:r>
        <w:t>This note escalates the outstanding Odell/Whitfield estoppel certificate. The reconfirmed threshold with Ingrid for escalation was a second callback attempt returning no response. That threshold has now been met, and this note documents the status and requests direction on next steps.</w:t>
      </w:r>
    </w:p>
    <w:p>
      <w:pPr>
        <w:pStyle w:val="Heading2"/>
      </w:pPr>
      <w:r>
        <w:t>Background</w:t>
      </w:r>
    </w:p>
    <w:p>
      <w:r>
        <w:t>The estoppel certificate from Odell/Whitfield remains one of two open items on the closing checklist, alongside the final good standing certificate for the twelfth jurisdiction, which is being tracked separately and is not the subject of this note. Ingrid and Quentin have made outreach attempts to Odell/Whitfield to obtain the executed certificate. As of today, a second follow-up call has come up empty, with no callback received.</w:t>
      </w:r>
    </w:p>
    <w:p>
      <w:pPr>
        <w:pStyle w:val="Heading2"/>
      </w:pPr>
      <w:r>
        <w:t>Current Status</w:t>
      </w:r>
    </w:p>
    <w:p>
      <w:pPr>
        <w:pStyle w:val="ListNumber"/>
      </w:pPr>
      <w:r>
        <w:t>Two of three planned outreach attempts to Odell/Whitfield have been completed.</w:t>
      </w:r>
    </w:p>
    <w:p>
      <w:pPr>
        <w:pStyle w:val="ListNumber"/>
      </w:pPr>
      <w:r>
        <w:t>No callback has been received following either attempt.</w:t>
      </w:r>
    </w:p>
    <w:p>
      <w:pPr>
        <w:pStyle w:val="ListNumber"/>
      </w:pPr>
      <w:r>
        <w:t>This is consistent with the threshold Ingrid and Mira reconfirmed for escalation: a second unanswered attempt triggers escalation rather than a third silent attempt.</w:t>
      </w:r>
    </w:p>
    <w:p>
      <w:pPr>
        <w:pStyle w:val="Heading2"/>
      </w:pPr>
      <w:r>
        <w:t>Request</w:t>
      </w:r>
    </w:p>
    <w:p>
      <w:r>
        <w:t>Mira is escalating this item now, per that reconfirmed threshold, rather than waiting on a third call. Direction requested on the following:</w:t>
      </w:r>
    </w:p>
    <w:p>
      <w:pPr>
        <w:pStyle w:val="ListBullet"/>
      </w:pPr>
      <w:r>
        <w:t>Whether Ingrid or Quentin will make a third and final attempt directly, or whether outside counsel for Odell/Whitfield should be contacted instead.</w:t>
      </w:r>
    </w:p>
    <w:p>
      <w:pPr>
        <w:pStyle w:val="ListBullet"/>
      </w:pPr>
      <w:r>
        <w:t>Whether a firm deadline should be communicated to Odell/Whitfield's counsel given the closing timeline.</w:t>
      </w:r>
    </w:p>
    <w:p>
      <w:pPr>
        <w:pStyle w:val="ListBullet"/>
      </w:pPr>
      <w:r>
        <w:t>Whether this item should be flagged to the client team as a closing risk if unresolved within the next business day.</w:t>
      </w:r>
    </w:p>
    <w:p>
      <w:pPr>
        <w:pStyle w:val="Heading2"/>
      </w:pPr>
      <w:r>
        <w:t>Related Items</w:t>
      </w:r>
    </w:p>
    <w:p>
      <w:r>
        <w:t>The final good standing certificate (twelfth jurisdiction) remains open separately, pending signer confirmation and execution timing with Quentin, and is being tracked on the Closing Checklist Status Report. It is not affected by this escalation and does not share the same threshold.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