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Asset Purchase Agreement — Draft Sections, Articles 4 through 7</w:t>
      </w:r>
    </w:p>
    <w:p>
      <w:r>
        <w:t>This draft covers Articles 4 through 7 of the Asset Purchase Agreement (the "Agreement") by and among Northmoor Holdings, Inc. ("Buyer") and Sandhurst Platform, Inc. ("Seller"), prepared per Dov's direction on team workstreams. This draft builds on the reconciled closing checklist and current diligence status as of today's EOD update, and is a working draft — bracketed items remain open pending confirmation of outstanding closing items, including the Seller's good standing certificate and the two outstanding tenant estoppel certificates.</w:t>
      </w:r>
    </w:p>
    <w:p>
      <w:r>
        <w:t>[DRAFTING NOTE: This is a first-pass draft circulated for internal review only. Do not distribute externally until reviewed by Dov and reconciled against the final closing checklist.]</w:t>
      </w:r>
    </w:p>
    <w:p>
      <w:pPr>
        <w:pStyle w:val="Heading1"/>
      </w:pPr>
      <w:r>
        <w:t>Article 4. Representations and Warranties of Seller</w:t>
      </w:r>
    </w:p>
    <w:p>
      <w:pPr>
        <w:pStyle w:val="Heading2"/>
      </w:pPr>
      <w:r>
        <w:t>Section 4.1 Organization and Good Standing</w:t>
      </w:r>
    </w:p>
    <w:p>
      <w:r>
        <w:t>Seller is a corporation duly organized, validly existing, and in good standing under the laws of the State of Delaware, and has all requisite corporate power and authority to own, lease, and operate its properties and to carry on its business as presently conducted.</w:t>
      </w:r>
    </w:p>
    <w:p>
      <w:r>
        <w:t>[DRAFTING NOTE: Good standing representation is pending confirmation of Seller's Delaware good standing certificate — currently the single outstanding item of 12 total closing checklist entities/items per the reconciled tracker, and unlikely to be received today. Do not finalize this section until the certificate is in hand; flag to Dov if certificate delivery slips past target closing date.]</w:t>
      </w:r>
    </w:p>
    <w:p>
      <w:pPr>
        <w:pStyle w:val="Heading2"/>
      </w:pPr>
      <w:r>
        <w:t>Section 4.2 Authority; Execution</w:t>
      </w:r>
    </w:p>
    <w:p>
      <w:r>
        <w:t>Seller has full corporate power and authority to execute and deliver this Agreement and each Ancillary Document to which it is a party, and to perform its obligations hereunder and thereunder. The execution, delivery, and performance of this Agreement have been duly authorized by all necessary corporate action on the part of Seller.</w:t>
      </w:r>
    </w:p>
    <w:p>
      <w:r>
        <w:t>[DRAFTING NOTE: This section is cross-referenced to the Secretary's Certificate to be delivered at closing certifying such corporate authorization. Signer for the Secretary's Certificate is not yet confirmed — chasing with Quentin; do not finalize signature blocks or closing deliverable schedule until signer identity and execution timing are confirmed.]</w:t>
      </w:r>
    </w:p>
    <w:p>
      <w:pPr>
        <w:pStyle w:val="Heading2"/>
      </w:pPr>
      <w:r>
        <w:t>Section 4.3 No Conflicts; Consents</w:t>
      </w:r>
    </w:p>
    <w:p>
      <w:r>
        <w:t>The execution and delivery of this Agreement by Seller does not, and the performance of this Agreement by Seller will not, (a) conflict with or violate the certificate of incorporation or bylaws of Seller, (b) conflict with or violate any law applicable to Seller, or (c) result in any breach of, or constitute a default under, any material contract to which Seller is a party, except as set forth on Schedule 4.3.</w:t>
      </w:r>
    </w:p>
    <w:p>
      <w:pPr>
        <w:pStyle w:val="Heading2"/>
      </w:pPr>
      <w:r>
        <w:t>Section 4.4 Real Property; Tenant Matters</w:t>
      </w:r>
    </w:p>
    <w:p>
      <w:r>
        <w:t>Schedule 4.4 sets forth a true, correct, and complete list of all leased real property material to the business, together with the status of estoppel certificates obtained from tenants in respect thereof.</w:t>
      </w:r>
    </w:p>
    <w:p>
      <w:r>
        <w:t>[DRAFTING NOTE: Estoppel tracker currently stands at 2 of 3 open. Outreach to Odell/Whitfield remains ongoing (led by Q. Sarr); no callback received as of today's status. Identity/verification question on the Odell contact has been resolved (same contact/number confirmed by Ingrid). This section and the associated closing condition in Article 7 should not be finalized until the estoppel status is resolved or the parties agree on an alternative closing mechanism (e.g., holdback or post-closing covenant).]</w:t>
      </w:r>
    </w:p>
    <w:p>
      <w:pPr>
        <w:pStyle w:val="Heading1"/>
      </w:pPr>
      <w:r>
        <w:t>Article 5. Representations and Warranties of Buyer</w:t>
      </w:r>
    </w:p>
    <w:p>
      <w:pPr>
        <w:pStyle w:val="Heading2"/>
      </w:pPr>
      <w:r>
        <w:t>Section 5.1 Organization and Good Standing</w:t>
      </w:r>
    </w:p>
    <w:p>
      <w:r>
        <w:t>Buyer is a corporation duly organized, validly existing, and in good standing under the laws of its jurisdiction of incorporation, and has all requisite corporate power and authority to own, lease, and operate its properties and to carry on its business as presently conducted.</w:t>
      </w:r>
    </w:p>
    <w:p>
      <w:pPr>
        <w:pStyle w:val="Heading2"/>
      </w:pPr>
      <w:r>
        <w:t>Section 5.2 Authority; Enforceability</w:t>
      </w:r>
    </w:p>
    <w:p>
      <w:r>
        <w:t>This Agreement has been duly executed and delivered by Buyer and, assuming due authorization, execution, and delivery by Seller, constitutes the valid and binding obligation of Buyer, enforceable against Buyer in accordance with its terms, subject to applicable bankruptcy, insolvency, and other laws affecting creditors' rights generally and general principles of equity.</w:t>
      </w:r>
    </w:p>
    <w:p>
      <w:pPr>
        <w:pStyle w:val="Heading1"/>
      </w:pPr>
      <w:r>
        <w:t>Article 6. Covenants</w:t>
      </w:r>
    </w:p>
    <w:p>
      <w:pPr>
        <w:pStyle w:val="Heading2"/>
      </w:pPr>
      <w:r>
        <w:t>Section 6.1 Conduct of Business Prior to Closing</w:t>
      </w:r>
    </w:p>
    <w:p>
      <w:r>
        <w:t>From the date hereof until the Closing, Seller shall conduct its business in the ordinary course consistent with past practice and shall not take any action outside the ordinary course without Buyer's prior written consent, except as otherwise contemplated by this Agreement.</w:t>
      </w:r>
    </w:p>
    <w:p>
      <w:pPr>
        <w:pStyle w:val="Heading2"/>
      </w:pPr>
      <w:r>
        <w:t>Section 6.2 Efforts to Obtain Closing Deliverables</w:t>
      </w:r>
    </w:p>
    <w:p>
      <w:r>
        <w:t>Seller shall use commercially reasonable efforts to obtain and deliver to Buyer, prior to Closing, (a) a good standing certificate for Seller issued by the Delaware Secretary of State, (b) a duly executed Secretary's Certificate in form and substance reasonably satisfactory to Buyer, and (c) tenant estoppel certificates in respect of the leases identified on Schedule 4.4.</w:t>
      </w:r>
    </w:p>
    <w:p>
      <w:r>
        <w:t>[DRAFTING NOTE: Section 6.2(a)-(c) drafted to track the three outstanding items flagged in the reconciled closing checklist (good standing certificate, Secretary's Certificate signer/execution, and Odell/Whitfield estoppels). Revisit materiality/closing-condition treatment of each in Article 7 once status is confirmed — do not treat as boilerplate.]</w:t>
      </w:r>
    </w:p>
    <w:p>
      <w:pPr>
        <w:pStyle w:val="Heading1"/>
      </w:pPr>
      <w:r>
        <w:t>Article 7. Conditions to Closing</w:t>
      </w:r>
    </w:p>
    <w:p>
      <w:pPr>
        <w:pStyle w:val="Heading2"/>
      </w:pPr>
      <w:r>
        <w:t>Section 7.1 Conditions to Obligations of Buyer</w:t>
      </w:r>
    </w:p>
    <w:p>
      <w:r>
        <w:t>The obligation of Buyer to consummate the transactions contemplated by this Agreement is subject to the satisfaction (or waiver by Buyer) of each of the following conditions:</w:t>
      </w:r>
    </w:p>
    <w:p>
      <w:pPr>
        <w:pStyle w:val="ListNumber"/>
      </w:pPr>
      <w:r>
        <w:t>Seller shall have delivered to Buyer a certificate of good standing issued by the Delaware Secretary of State, dated not more than [ten (10)] days prior to the Closing Date. [DRAFTING NOTE: Currently outstanding — 1 of 12 closing checklist items — and tied to unresolved Secretary's Certificate signer/execution timing. Confirm with Quentin before finalizing timing mechanics.]</w:t>
      </w:r>
    </w:p>
    <w:p>
      <w:pPr>
        <w:pStyle w:val="ListNumber"/>
      </w:pPr>
      <w:r>
        <w:t>Seller shall have delivered to Buyer a duly executed Secretary's Certificate, including the incumbency and authorization certifications referenced in Section 4.2. [DRAFTING NOTE: Signer not yet confirmed. Escalated to Quentin; awaiting response.]</w:t>
      </w:r>
    </w:p>
    <w:p>
      <w:pPr>
        <w:pStyle w:val="ListNumber"/>
      </w:pPr>
      <w:r>
        <w:t>Seller shall have delivered to Buyer estoppel certificates, in form reasonably satisfactory to Buyer, from tenants representing not less than [__]% of the leases identified on Schedule 4.4. [DRAFTING NOTE: 2 of 3 currently open; Odell/Whitfield outreach ongoing, no callback yet. Consider whether this condition should be waivable by Buyer or subject to a post-closing holdback if outstanding at Closing.]</w:t>
      </w:r>
    </w:p>
    <w:p>
      <w:pPr>
        <w:pStyle w:val="ListNumber"/>
      </w:pPr>
      <w:r>
        <w:t>The representations and warranties of Seller set forth in Article 4 shall be true and correct in all material respects as of the Closing Date.</w:t>
      </w:r>
    </w:p>
    <w:p>
      <w:pPr>
        <w:pStyle w:val="ListNumber"/>
      </w:pPr>
      <w:r>
        <w:t>No injunction or other order preventing the consummation of the transactions contemplated hereby shall be in effect.</w:t>
      </w:r>
    </w:p>
    <w:p>
      <w:pPr>
        <w:pStyle w:val="Heading2"/>
      </w:pPr>
      <w:r>
        <w:t>Section 7.2 Conditions to Obligations of Seller</w:t>
      </w:r>
    </w:p>
    <w:p>
      <w:r>
        <w:t>The obligation of Seller to consummate the transactions contemplated by this Agreement is subject to the satisfaction (or waiver by Seller) of the conditions set forth on Schedule 7.2, including receipt of the Purchase Price and customary closing deliverables from Buyer.</w:t>
      </w:r>
    </w:p>
    <w:p>
      <w:pPr>
        <w:pStyle w:val="Heading1"/>
      </w:pPr>
      <w:r>
        <w:t>Open Items Tracker (for internal use)</w:t>
      </w:r>
    </w:p>
    <w:tbl>
      <w:tblPr>
        <w:tblW w:type="auto" w:w="0"/>
        <w:tblLook w:firstColumn="1" w:firstRow="1" w:lastColumn="0" w:lastRow="0" w:noHBand="0" w:noVBand="1" w:val="04A0"/>
      </w:tblPr>
      <w:tblGrid>
        <w:gridCol w:w="2160"/>
        <w:gridCol w:w="2160"/>
        <w:gridCol w:w="2160"/>
        <w:gridCol w:w="2160"/>
      </w:tblGrid>
      <w:tr>
        <w:tc>
          <w:tcPr>
            <w:tcW w:type="dxa" w:w="2160"/>
          </w:tcPr>
          <w:p>
            <w:r>
              <w:t>Section</w:t>
            </w:r>
          </w:p>
        </w:tc>
        <w:tc>
          <w:tcPr>
            <w:tcW w:type="dxa" w:w="2160"/>
          </w:tcPr>
          <w:p>
            <w:r>
              <w:t>Open Item</w:t>
            </w:r>
          </w:p>
        </w:tc>
        <w:tc>
          <w:tcPr>
            <w:tcW w:type="dxa" w:w="2160"/>
          </w:tcPr>
          <w:p>
            <w:r>
              <w:t>Status</w:t>
            </w:r>
          </w:p>
        </w:tc>
        <w:tc>
          <w:tcPr>
            <w:tcW w:type="dxa" w:w="2160"/>
          </w:tcPr>
          <w:p>
            <w:r>
              <w:t>Owner</w:t>
            </w:r>
          </w:p>
        </w:tc>
      </w:tr>
      <w:tr>
        <w:tc>
          <w:tcPr>
            <w:tcW w:type="dxa" w:w="2160"/>
          </w:tcPr>
          <w:p>
            <w:r>
              <w:t>4.1 / 7.1(a)</w:t>
            </w:r>
          </w:p>
        </w:tc>
        <w:tc>
          <w:tcPr>
            <w:tcW w:type="dxa" w:w="2160"/>
          </w:tcPr>
          <w:p>
            <w:r>
              <w:t>Delaware good standing certificate</w:t>
            </w:r>
          </w:p>
        </w:tc>
        <w:tc>
          <w:tcPr>
            <w:tcW w:type="dxa" w:w="2160"/>
          </w:tcPr>
          <w:p>
            <w:r>
              <w:t>1 of 12 checklist items outstanding; unlikely today</w:t>
            </w:r>
          </w:p>
        </w:tc>
        <w:tc>
          <w:tcPr>
            <w:tcW w:type="dxa" w:w="2160"/>
          </w:tcPr>
          <w:p>
            <w:r>
              <w:t>Quentin</w:t>
            </w:r>
          </w:p>
        </w:tc>
      </w:tr>
      <w:tr>
        <w:tc>
          <w:tcPr>
            <w:tcW w:type="dxa" w:w="2160"/>
          </w:tcPr>
          <w:p>
            <w:r>
              <w:t>4.2 / 7.1(b)</w:t>
            </w:r>
          </w:p>
        </w:tc>
        <w:tc>
          <w:tcPr>
            <w:tcW w:type="dxa" w:w="2160"/>
          </w:tcPr>
          <w:p>
            <w:r>
              <w:t>Secretary's Certificate signer confirmation</w:t>
            </w:r>
          </w:p>
        </w:tc>
        <w:tc>
          <w:tcPr>
            <w:tcW w:type="dxa" w:w="2160"/>
          </w:tcPr>
          <w:p>
            <w:r>
              <w:t>Signer not yet confirmed; execution timing pending</w:t>
            </w:r>
          </w:p>
        </w:tc>
        <w:tc>
          <w:tcPr>
            <w:tcW w:type="dxa" w:w="2160"/>
          </w:tcPr>
          <w:p>
            <w:r>
              <w:t>Quentin</w:t>
            </w:r>
          </w:p>
        </w:tc>
      </w:tr>
      <w:tr>
        <w:tc>
          <w:tcPr>
            <w:tcW w:type="dxa" w:w="2160"/>
          </w:tcPr>
          <w:p>
            <w:r>
              <w:t>4.4 / 7.1(c)</w:t>
            </w:r>
          </w:p>
        </w:tc>
        <w:tc>
          <w:tcPr>
            <w:tcW w:type="dxa" w:w="2160"/>
          </w:tcPr>
          <w:p>
            <w:r>
              <w:t>Odell/Whitfield tenant estoppels</w:t>
            </w:r>
          </w:p>
        </w:tc>
        <w:tc>
          <w:tcPr>
            <w:tcW w:type="dxa" w:w="2160"/>
          </w:tcPr>
          <w:p>
            <w:r>
              <w:t>2 of 3 open; outreach ongoing, no callback yet</w:t>
            </w:r>
          </w:p>
        </w:tc>
        <w:tc>
          <w:tcPr>
            <w:tcW w:type="dxa" w:w="2160"/>
          </w:tcPr>
          <w:p>
            <w:r>
              <w:t>Q. Sarr / Ingrid</w:t>
            </w:r>
          </w:p>
        </w:tc>
      </w:tr>
    </w:tbl>
    <w:p>
      <w:r>
        <w:t>[DRAFTING NOTE: This tracker is for internal drafting reference only and should not be included in any version circulated to Seller's counsel. Remove before external distribution.]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