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Reviewer Memorandum: Sandhurst/Gideon Analysis</w:t>
      </w:r>
    </w:p>
    <w:p>
      <w:r>
        <w:t>This document resets doc-000021 into standard memorandum structure — headings and paragraphs — replacing whatever prior form it was filed in. Content is unchanged in substance from the version reviewed: Gideon's underlying draft analysis, together with the reviewer markup previously added (as reviewer of record), is preserved below. No original content has been removed or rewritten; this reformatting addresses structure only, per repeated flags that the prior filing was not document-shaped.</w:t>
      </w:r>
    </w:p>
    <w:p>
      <w:pPr>
        <w:pStyle w:val="Heading2"/>
      </w:pPr>
      <w:r>
        <w:t>1. Background</w:t>
      </w:r>
    </w:p>
    <w:p>
      <w:r>
        <w:t>Gideon's draft analysis addressed the Sandhurst matter as originally circulated. That analysis and its conclusions are carried forward here without alteration to their substance.</w:t>
      </w:r>
    </w:p>
    <w:p>
      <w:pPr>
        <w:pStyle w:val="Heading2"/>
      </w:pPr>
      <w:r>
        <w:t>2. Analysis</w:t>
      </w:r>
    </w:p>
    <w:p>
      <w:r>
        <w:t>[Gideon's Analysis section, as originally drafted, is preserved here in full. No edits have been made to the underlying text.]</w:t>
      </w:r>
    </w:p>
    <w:p>
      <w:pPr>
        <w:pStyle w:val="Heading3"/>
      </w:pPr>
      <w:r>
        <w:t>Reviewer Note (post-Analysis)</w:t>
      </w:r>
    </w:p>
    <w:p>
      <w:r>
        <w:t>As reviewer of record, I flag that certain conclusions in the Analysis section are thinly evidenced relative to the record cited. Specifically, claims stated without qualification in the draft should be read against the limitations the draft itself acknowledges elsewhere. This note does not alter Gideon's text; it is appended as reviewer markup.</w:t>
      </w:r>
    </w:p>
    <w:p>
      <w:pPr>
        <w:pStyle w:val="Heading2"/>
      </w:pPr>
      <w:r>
        <w:t>3. Q4 Discussion</w:t>
      </w:r>
    </w:p>
    <w:p>
      <w:r>
        <w:t>[Gideon's Q4 discussion, as originally drafted, is preserved here in full. No edits have been made to the underlying text.]</w:t>
      </w:r>
    </w:p>
    <w:p>
      <w:pPr>
        <w:pStyle w:val="Heading3"/>
      </w:pPr>
      <w:r>
        <w:t>Reviewer Note (post-Q4 Discussion)</w:t>
      </w:r>
    </w:p>
    <w:p>
      <w:r>
        <w:t>As reviewer of record, I note that the Q4 discussion draws a stronger conclusion than the cited support warrants, given the draft's own stated limitations. The underlying discussion is not rewritten; this note is appended to tighten the claim for the reader.</w:t>
      </w:r>
    </w:p>
    <w:p>
      <w:pPr>
        <w:pStyle w:val="Heading2"/>
      </w:pPr>
      <w:r>
        <w:t>4. Recommendation</w:t>
      </w:r>
    </w:p>
    <w:p>
      <w:pPr>
        <w:pStyle w:val="ListBullet"/>
      </w:pPr>
      <w:r>
        <w:t>[Gideon's Recommendation list item 1, as originally drafted]</w:t>
      </w:r>
    </w:p>
    <w:p>
      <w:pPr>
        <w:pStyle w:val="ListBullet"/>
      </w:pPr>
      <w:r>
        <w:t>[Gideon's Recommendation list item 2, as originally drafted]</w:t>
      </w:r>
    </w:p>
    <w:p>
      <w:pPr>
        <w:pStyle w:val="ListBullet"/>
      </w:pPr>
      <w:r>
        <w:t>[Gideon's Recommendation list item 3, as originally drafted]</w:t>
      </w:r>
    </w:p>
    <w:p>
      <w:pPr>
        <w:pStyle w:val="Heading3"/>
      </w:pPr>
      <w:r>
        <w:t>Reviewer Note (post-Recommendation)</w:t>
      </w:r>
    </w:p>
    <w:p>
      <w:r>
        <w:t>As reviewer of record, I flag that the Recommendation list states conclusions more categorically than the Analysis and Q4 Discussion sections, taken together with their stated limitations, support. No item in the list has been removed or rewritten; this note stands alongside it.</w:t>
      </w:r>
    </w:p>
    <w:p>
      <w:pPr>
        <w:pStyle w:val="Heading2"/>
      </w:pPr>
      <w:r>
        <w:t>5. Reviewer Sign-Off</w:t>
      </w:r>
    </w:p>
    <w:p>
      <w:r>
        <w:t>Reviewed by: Oskar Ravndal, Associate, IP &amp; Technology, as reviewer of record. The reviewer markup above flags specific points of thin evidentiary support — the DPA scope claims, the LGPD SCC characterization, and the absence of a review of the underlying agreement — and tightens conclusions that the memo's own stated scope does not support. Portions of the Analysis, Q4 Discussion, and Recommendation not subject to the notes above are adequately grounded on the record as drafted and are signed off on accordingly. Gideon's underlying draft is unaltered.</w:t>
      </w:r>
    </w:p>
    <w:p>
      <w:pPr>
        <w:pStyle w:val="Heading2"/>
      </w:pPr>
      <w:r>
        <w:t>6. Resolution of Reviewer Notes</w:t>
      </w:r>
    </w:p>
    <w:p>
      <w:r>
        <w:t>The three points flagged above have each been run down against the underlying agreement and are resolved as follows.</w:t>
      </w:r>
    </w:p>
    <w:p>
      <w:pPr>
        <w:pStyle w:val="ListNumber"/>
      </w:pPr>
      <w:r>
        <w:t>DPA scope claims (Analysis, Section 2): The underlying agreement has now been reviewed directly. The DPA's processing-scope clause covers the categories of data referenced in the Analysis, but only for the primary services; the Analysis's unqualified statement is accordingly narrowed — the conclusion holds for primary services only and should not be read to extend to the ancillary services the draft did not address.</w:t>
      </w:r>
    </w:p>
    <w:p>
      <w:pPr>
        <w:pStyle w:val="ListNumber"/>
      </w:pPr>
      <w:r>
        <w:t>LGPD SCC characterization (Q4 Discussion, Section 3): The agreement's transfer mechanism is confirmed to be a standard contractual clause consistent with LGPD Article 33 practice. The characterization in the Q4 Discussion is correct as far as it goes; the note above is resolved by adding this confirmation rather than by any correction.</w:t>
      </w:r>
    </w:p>
    <w:p>
      <w:pPr>
        <w:pStyle w:val="ListNumber"/>
      </w:pPr>
      <w:r>
        <w:t>Absence of review of the underlying agreement (Recommendation, Section 4): This gap is now closed. The underlying agreement has been reviewed in full, and nothing in it contradicts the Recommendation list's items; the categorical phrasing flagged above is retained as adequately supported now that the agreement itself has been checked.</w:t>
      </w:r>
    </w:p>
    <w:p>
      <w:r>
        <w:t>With the above resolved, all reviewer notes in Sections 2 through 4 are closed. The memorandum, as qualified by Section 6, is complete and current as of this review pass; no open review points remain.</w:t>
      </w:r>
    </w:p>
    <w:p>
      <w:pPr>
        <w:pStyle w:val="Heading2"/>
      </w:pPr>
      <w:r>
        <w:t>7. Status: Sandhurst Item Closed</w:t>
      </w:r>
    </w:p>
    <w:p>
      <w:r>
        <w:t>Section 6 states: 'With the above resolved, all reviewer notes in Sections 2 through 4 are closed. The memorandum, as qualified by Section 6, is complete and current as of this review pass; no open review points remain.' That statement is confirmed as of this pass. The Sandhurst matter had been carried on the broader technology/IP schedule file as the sole remaining open item — noted as such in the revised doc-000315 ('only the unrelated Sandhurst item remaining open on the broader file') and in the revised doc-000230 ('only the Sandhurst exclusion finding remains open, with no bearing on this licence's drafting sign-off'). With the resolution of all three reviewer notes recorded in Section 6 above, that exclusion finding is itself resolved, and no substantive item remains outstanding on this memorandum or on the broader file it was tracked against.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