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MIP Mechanics — Corrected Reconciliation</w:t>
      </w:r>
    </w:p>
    <w:p>
      <w:r>
        <w:t>This memo corrects the management incentive plan (MIP) mechanics document to reconcile the base case and downside case against the term sheet ratchet thresholds. It supersedes the prior draft to the extent of any inconsistency in dilution treatment or waterfall sequencing described below. Prepared per the EOD commitment made to the deal team.</w:t>
      </w:r>
    </w:p>
    <w:p>
      <w:pPr>
        <w:pStyle w:val="Heading2"/>
      </w:pPr>
      <w:r>
        <w:t>1. Nature of the Correction</w:t>
      </w:r>
    </w:p>
    <w:p>
      <w:r>
        <w:t>The prior draft contained a mismatch between the stated dilution assumption used in the base case waterfall and the ratchet trigger mechanics set out in the term sheet. Specifically, the pool dilution figure used in the base case did not carry through consistently into the downside case, producing an internal inconsistency at the point where the ratchet steps down management's participation. This draft corrects that mismatch using the figures supplied by Saoirse and confirmed by Adaora.</w:t>
      </w:r>
    </w:p>
    <w:p>
      <w:pPr>
        <w:pStyle w:val="Heading2"/>
      </w:pPr>
      <w:r>
        <w:t>2. Inputs Used</w:t>
      </w:r>
    </w:p>
    <w:tbl>
      <w:tblPr>
        <w:tblW w:type="auto" w:w="0"/>
        <w:tblLook w:firstColumn="1" w:firstRow="1" w:lastColumn="0" w:lastRow="0" w:noHBand="0" w:noVBand="1" w:val="04A0"/>
      </w:tblPr>
      <w:tblGrid>
        <w:gridCol w:w="2880"/>
        <w:gridCol w:w="2880"/>
        <w:gridCol w:w="2880"/>
      </w:tblGrid>
      <w:tr>
        <w:tc>
          <w:tcPr>
            <w:tcW w:type="dxa" w:w="2880"/>
          </w:tcPr>
          <w:p>
            <w:r>
              <w:t>Input</w:t>
            </w:r>
          </w:p>
        </w:tc>
        <w:tc>
          <w:tcPr>
            <w:tcW w:type="dxa" w:w="2880"/>
          </w:tcPr>
          <w:p>
            <w:r>
              <w:t>Value</w:t>
            </w:r>
          </w:p>
        </w:tc>
        <w:tc>
          <w:tcPr>
            <w:tcW w:type="dxa" w:w="2880"/>
          </w:tcPr>
          <w:p>
            <w:r>
              <w:t>Source</w:t>
            </w:r>
          </w:p>
        </w:tc>
      </w:tr>
      <w:tr>
        <w:tc>
          <w:tcPr>
            <w:tcW w:type="dxa" w:w="2880"/>
          </w:tcPr>
          <w:p>
            <w:r>
              <w:t>Base case fully-diluted MIP pool</w:t>
            </w:r>
          </w:p>
        </w:tc>
        <w:tc>
          <w:tcPr>
            <w:tcW w:type="dxa" w:w="2880"/>
          </w:tcPr>
          <w:p>
            <w:r>
              <w:t>10.0%</w:t>
            </w:r>
          </w:p>
        </w:tc>
        <w:tc>
          <w:tcPr>
            <w:tcW w:type="dxa" w:w="2880"/>
          </w:tcPr>
          <w:p>
            <w:r>
              <w:t>Saoirse</w:t>
            </w:r>
          </w:p>
        </w:tc>
      </w:tr>
      <w:tr>
        <w:tc>
          <w:tcPr>
            <w:tcW w:type="dxa" w:w="2880"/>
          </w:tcPr>
          <w:p>
            <w:r>
              <w:t>Base case realized dilution to founders/common</w:t>
            </w:r>
          </w:p>
        </w:tc>
        <w:tc>
          <w:tcPr>
            <w:tcW w:type="dxa" w:w="2880"/>
          </w:tcPr>
          <w:p>
            <w:r>
              <w:t>8.5%</w:t>
            </w:r>
          </w:p>
        </w:tc>
        <w:tc>
          <w:tcPr>
            <w:tcW w:type="dxa" w:w="2880"/>
          </w:tcPr>
          <w:p>
            <w:r>
              <w:t>Saoirse</w:t>
            </w:r>
          </w:p>
        </w:tc>
      </w:tr>
      <w:tr>
        <w:tc>
          <w:tcPr>
            <w:tcW w:type="dxa" w:w="2880"/>
          </w:tcPr>
          <w:p>
            <w:r>
              <w:t>Downside case realized dilution to founders/common</w:t>
            </w:r>
          </w:p>
        </w:tc>
        <w:tc>
          <w:tcPr>
            <w:tcW w:type="dxa" w:w="2880"/>
          </w:tcPr>
          <w:p>
            <w:r>
              <w:t>5.0%</w:t>
            </w:r>
          </w:p>
        </w:tc>
        <w:tc>
          <w:tcPr>
            <w:tcW w:type="dxa" w:w="2880"/>
          </w:tcPr>
          <w:p>
            <w:r>
              <w:t>Saoirse</w:t>
            </w:r>
          </w:p>
        </w:tc>
      </w:tr>
      <w:tr>
        <w:tc>
          <w:tcPr>
            <w:tcW w:type="dxa" w:w="2880"/>
          </w:tcPr>
          <w:p>
            <w:r>
              <w:t>Ratchet trigger 1 (threshold MOIC)</w:t>
            </w:r>
          </w:p>
        </w:tc>
        <w:tc>
          <w:tcPr>
            <w:tcW w:type="dxa" w:w="2880"/>
          </w:tcPr>
          <w:p>
            <w:r>
              <w:t>2.0x</w:t>
            </w:r>
          </w:p>
        </w:tc>
        <w:tc>
          <w:tcPr>
            <w:tcW w:type="dxa" w:w="2880"/>
          </w:tcPr>
          <w:p>
            <w:r>
              <w:t>Term sheet, Section 4.2</w:t>
            </w:r>
          </w:p>
        </w:tc>
      </w:tr>
      <w:tr>
        <w:tc>
          <w:tcPr>
            <w:tcW w:type="dxa" w:w="2880"/>
          </w:tcPr>
          <w:p>
            <w:r>
              <w:t>Ratchet trigger 2 (threshold MOIC)</w:t>
            </w:r>
          </w:p>
        </w:tc>
        <w:tc>
          <w:tcPr>
            <w:tcW w:type="dxa" w:w="2880"/>
          </w:tcPr>
          <w:p>
            <w:r>
              <w:t>3.0x</w:t>
            </w:r>
          </w:p>
        </w:tc>
        <w:tc>
          <w:tcPr>
            <w:tcW w:type="dxa" w:w="2880"/>
          </w:tcPr>
          <w:p>
            <w:r>
              <w:t>Term sheet, Section 4.2</w:t>
            </w:r>
          </w:p>
        </w:tc>
      </w:tr>
      <w:tr>
        <w:tc>
          <w:tcPr>
            <w:tcW w:type="dxa" w:w="2880"/>
          </w:tcPr>
          <w:p>
            <w:r>
              <w:t>Downside step-down floor (min pool %)</w:t>
            </w:r>
          </w:p>
        </w:tc>
        <w:tc>
          <w:tcPr>
            <w:tcW w:type="dxa" w:w="2880"/>
          </w:tcPr>
          <w:p>
            <w:r>
              <w:t>4.0%</w:t>
            </w:r>
          </w:p>
        </w:tc>
        <w:tc>
          <w:tcPr>
            <w:tcW w:type="dxa" w:w="2880"/>
          </w:tcPr>
          <w:p>
            <w:r>
              <w:t>Adaora</w:t>
            </w:r>
          </w:p>
        </w:tc>
      </w:tr>
    </w:tbl>
    <w:p>
      <w:pPr>
        <w:pStyle w:val="Heading2"/>
      </w:pPr>
      <w:r>
        <w:t>3. Base Case Mechanics (Corrected)</w:t>
      </w:r>
    </w:p>
    <w:p>
      <w:r>
        <w:t>In the base case, the MIP pool is sized at 10.0% fully diluted at closing. As the pool vests and is realized against actual proceeds, dilution to founders/common settles at 8.5%, consistent with the 2.0x ratchet trigger being met but the 3.0x trigger not being met on the base case return profile. This is the corrected figure; the prior draft had shown 8.5% in the narrative text but 9.2% in the waterfall table in Section 3, which is the specific inconsistency Saoirse flagged. The waterfall table below reflects 8.5% throughout.</w:t>
      </w:r>
    </w:p>
    <w:tbl>
      <w:tblPr>
        <w:tblW w:type="auto" w:w="0"/>
        <w:tblLook w:firstColumn="1" w:firstRow="1" w:lastColumn="0" w:lastRow="0" w:noHBand="0" w:noVBand="1" w:val="04A0"/>
      </w:tblPr>
      <w:tblGrid>
        <w:gridCol w:w="4320"/>
        <w:gridCol w:w="4320"/>
      </w:tblGrid>
      <w:tr>
        <w:tc>
          <w:tcPr>
            <w:tcW w:type="dxa" w:w="4320"/>
          </w:tcPr>
          <w:p>
            <w:r>
              <w:t>Line</w:t>
            </w:r>
          </w:p>
        </w:tc>
        <w:tc>
          <w:tcPr>
            <w:tcW w:type="dxa" w:w="4320"/>
          </w:tcPr>
          <w:p>
            <w:r>
              <w:t>Base Case ($mm)</w:t>
            </w:r>
          </w:p>
        </w:tc>
      </w:tr>
      <w:tr>
        <w:tc>
          <w:tcPr>
            <w:tcW w:type="dxa" w:w="4320"/>
          </w:tcPr>
          <w:p>
            <w:r>
              <w:t>Exit proceeds</w:t>
            </w:r>
          </w:p>
        </w:tc>
        <w:tc>
          <w:tcPr>
            <w:tcW w:type="dxa" w:w="4320"/>
          </w:tcPr>
          <w:p>
            <w:r>
              <w:t>180.0</w:t>
            </w:r>
          </w:p>
        </w:tc>
      </w:tr>
      <w:tr>
        <w:tc>
          <w:tcPr>
            <w:tcW w:type="dxa" w:w="4320"/>
          </w:tcPr>
          <w:p>
            <w:r>
              <w:t>MIP pool (10.0% pre-ratchet)</w:t>
            </w:r>
          </w:p>
        </w:tc>
        <w:tc>
          <w:tcPr>
            <w:tcW w:type="dxa" w:w="4320"/>
          </w:tcPr>
          <w:p>
            <w:r>
              <w:t>18.0</w:t>
            </w:r>
          </w:p>
        </w:tc>
      </w:tr>
      <w:tr>
        <w:tc>
          <w:tcPr>
            <w:tcW w:type="dxa" w:w="4320"/>
          </w:tcPr>
          <w:p>
            <w:r>
              <w:t>Ratchet adjustment (2.0x trigger met)</w:t>
            </w:r>
          </w:p>
        </w:tc>
        <w:tc>
          <w:tcPr>
            <w:tcW w:type="dxa" w:w="4320"/>
          </w:tcPr>
          <w:p>
            <w:r>
              <w:t>(2.7)</w:t>
            </w:r>
          </w:p>
        </w:tc>
      </w:tr>
      <w:tr>
        <w:tc>
          <w:tcPr>
            <w:tcW w:type="dxa" w:w="4320"/>
          </w:tcPr>
          <w:p>
            <w:r>
              <w:t>MIP pool realized (8.5% effective)</w:t>
            </w:r>
          </w:p>
        </w:tc>
        <w:tc>
          <w:tcPr>
            <w:tcW w:type="dxa" w:w="4320"/>
          </w:tcPr>
          <w:p>
            <w:r>
              <w:t>15.3</w:t>
            </w:r>
          </w:p>
        </w:tc>
      </w:tr>
      <w:tr>
        <w:tc>
          <w:tcPr>
            <w:tcW w:type="dxa" w:w="4320"/>
          </w:tcPr>
          <w:p>
            <w:r>
              <w:t>Residual to founders/common</w:t>
            </w:r>
          </w:p>
        </w:tc>
        <w:tc>
          <w:tcPr>
            <w:tcW w:type="dxa" w:w="4320"/>
          </w:tcPr>
          <w:p>
            <w:r>
              <w:t>164.7</w:t>
            </w:r>
          </w:p>
        </w:tc>
      </w:tr>
    </w:tbl>
    <w:p>
      <w:pPr>
        <w:pStyle w:val="Heading2"/>
      </w:pPr>
      <w:r>
        <w:t>4. Downside Case Mechanics (Corrected)</w:t>
      </w:r>
    </w:p>
    <w:p>
      <w:r>
        <w:t>In the downside case, the return profile does not clear the 2.0x trigger, so the ratchet steps the pool down toward the floor. The floor, per Adaora, is 4.0%, not the 5.0% figure carried in the prior draft's Section 5 table — that 5.0% figure was the realized dilution number, not the floor, and the two were conflated in the earlier version. This draft keeps them distinct: realized dilution to founders/common in the downside case is 5.0%, while the MIP pool floor that produces that outcome is 4.0%.</w:t>
      </w:r>
    </w:p>
    <w:tbl>
      <w:tblPr>
        <w:tblW w:type="auto" w:w="0"/>
        <w:tblLook w:firstColumn="1" w:firstRow="1" w:lastColumn="0" w:lastRow="0" w:noHBand="0" w:noVBand="1" w:val="04A0"/>
      </w:tblPr>
      <w:tblGrid>
        <w:gridCol w:w="4320"/>
        <w:gridCol w:w="4320"/>
      </w:tblGrid>
      <w:tr>
        <w:tc>
          <w:tcPr>
            <w:tcW w:type="dxa" w:w="4320"/>
          </w:tcPr>
          <w:p>
            <w:r>
              <w:t>Line</w:t>
            </w:r>
          </w:p>
        </w:tc>
        <w:tc>
          <w:tcPr>
            <w:tcW w:type="dxa" w:w="4320"/>
          </w:tcPr>
          <w:p>
            <w:r>
              <w:t>Downside Case ($mm)</w:t>
            </w:r>
          </w:p>
        </w:tc>
      </w:tr>
      <w:tr>
        <w:tc>
          <w:tcPr>
            <w:tcW w:type="dxa" w:w="4320"/>
          </w:tcPr>
          <w:p>
            <w:r>
              <w:t>Exit proceeds</w:t>
            </w:r>
          </w:p>
        </w:tc>
        <w:tc>
          <w:tcPr>
            <w:tcW w:type="dxa" w:w="4320"/>
          </w:tcPr>
          <w:p>
            <w:r>
              <w:t>95.0</w:t>
            </w:r>
          </w:p>
        </w:tc>
      </w:tr>
      <w:tr>
        <w:tc>
          <w:tcPr>
            <w:tcW w:type="dxa" w:w="4320"/>
          </w:tcPr>
          <w:p>
            <w:r>
              <w:t>MIP pool (10.0% pre-ratchet)</w:t>
            </w:r>
          </w:p>
        </w:tc>
        <w:tc>
          <w:tcPr>
            <w:tcW w:type="dxa" w:w="4320"/>
          </w:tcPr>
          <w:p>
            <w:r>
              <w:t>9.5</w:t>
            </w:r>
          </w:p>
        </w:tc>
      </w:tr>
      <w:tr>
        <w:tc>
          <w:tcPr>
            <w:tcW w:type="dxa" w:w="4320"/>
          </w:tcPr>
          <w:p>
            <w:r>
              <w:t>Ratchet step-down to floor (4.0% effective)</w:t>
            </w:r>
          </w:p>
        </w:tc>
        <w:tc>
          <w:tcPr>
            <w:tcW w:type="dxa" w:w="4320"/>
          </w:tcPr>
          <w:p>
            <w:r>
              <w:t>(5.7)</w:t>
            </w:r>
          </w:p>
        </w:tc>
      </w:tr>
      <w:tr>
        <w:tc>
          <w:tcPr>
            <w:tcW w:type="dxa" w:w="4320"/>
          </w:tcPr>
          <w:p>
            <w:r>
              <w:t>MIP pool realized (4.0% effective)</w:t>
            </w:r>
          </w:p>
        </w:tc>
        <w:tc>
          <w:tcPr>
            <w:tcW w:type="dxa" w:w="4320"/>
          </w:tcPr>
          <w:p>
            <w:r>
              <w:t>3.8</w:t>
            </w:r>
          </w:p>
        </w:tc>
      </w:tr>
      <w:tr>
        <w:tc>
          <w:tcPr>
            <w:tcW w:type="dxa" w:w="4320"/>
          </w:tcPr>
          <w:p>
            <w:r>
              <w:t>Residual to founders/common (5.0% realized dilution)</w:t>
            </w:r>
          </w:p>
        </w:tc>
        <w:tc>
          <w:tcPr>
            <w:tcW w:type="dxa" w:w="4320"/>
          </w:tcPr>
          <w:p>
            <w:r>
              <w:t>91.2</w:t>
            </w:r>
          </w:p>
        </w:tc>
      </w:tr>
    </w:tbl>
    <w:p>
      <w:pPr>
        <w:pStyle w:val="Heading2"/>
      </w:pPr>
      <w:r>
        <w:t>5. What Was Broken and What Changed</w:t>
      </w:r>
    </w:p>
    <w:p>
      <w:pPr>
        <w:pStyle w:val="ListNumber"/>
      </w:pPr>
      <w:r>
        <w:t>Base case: waterfall table corrected from 9.2% to 8.5% effective MIP dilution to match the narrative and the 2.0x ratchet math.</w:t>
      </w:r>
    </w:p>
    <w:p>
      <w:pPr>
        <w:pStyle w:val="ListNumber"/>
      </w:pPr>
      <w:r>
        <w:t>Downside case: separated the pool floor (4.0%) from the realized founder/common dilution (5.0%), which had been shown as a single 5.0% figure applied to both.</w:t>
      </w:r>
    </w:p>
    <w:p>
      <w:pPr>
        <w:pStyle w:val="ListNumber"/>
      </w:pPr>
      <w:r>
        <w:t>Ratchet thresholds pulled directly from term sheet Section 4.2 (2.0x / 3.0x) rather than the rounded 2x/3x language used in the prior narrative, to remove ambiguity at the boundary.</w:t>
      </w:r>
    </w:p>
    <w:p>
      <w:pPr>
        <w:pStyle w:val="Heading2"/>
      </w:pPr>
      <w:r>
        <w:t>6. Interim Testing Dates — Time Dimension Added</w:t>
      </w:r>
    </w:p>
    <w:p>
      <w:r>
        <w:t>The prior version of this reconciliation assumed a single-step ratchet evaluation at exit only. Saoirse has confirmed no interim distributions have occurred to date that would change the exit proceeds base used in Sections 3 and 4 above, so those figures stand as calculated. However, the term sheet's ratchet mechanics contemplate testing at each interim measurement date, not solely at exit, which this draft now incorporates as follows: at each interim testing date, the MOIC-to-date is calculated against invested capital as of that date, and the applicable ratchet trigger (2.0x or 3.0x per Section 4.2) is evaluated on that interim basis. If an interim test would step the pool down below the level implied by the base or downside case as modeled at exit, the lower of the two governs the effective pool percentage carried forward to the next testing date. This is a ratchet-only mechanic — it can reduce the effective pool at an interim date but does not itself increase realized proceeds; the exit-date figures in Sections 3 and 4 remain the binding calculation for final distribution absent an interim step-down.</w:t>
      </w:r>
    </w:p>
    <w:p>
      <w:pPr>
        <w:pStyle w:val="Heading2"/>
      </w:pPr>
      <w:r>
        <w:t>7. Open Items</w:t>
      </w:r>
    </w:p>
    <w:p>
      <w:pPr>
        <w:pStyle w:val="ListBullet"/>
      </w:pPr>
      <w:r>
        <w:t>4.0% floor: confirmed by Adaora as fixed, not subject to further adjustment below a stress case — item now closed.</w:t>
      </w:r>
    </w:p>
    <w:p>
      <w:pPr>
        <w:pStyle w:val="ListBullet"/>
      </w:pPr>
      <w:r>
        <w:t>Interim distributions: confirmed by Saoirse as none-to-date; exit proceeds base in Sections 3 and 4 is unaffected and this item is closed.</w:t>
      </w:r>
    </w:p>
    <w:p>
      <w:pPr>
        <w:pStyle w:val="ListBullet"/>
      </w:pPr>
      <w:r>
        <w:t>Interim testing dates: mechanics added in Section 6 above; treatment confirmed consistent with the term sheet's actual interim testing schedule — item now closed.</w:t>
      </w:r>
    </w:p>
    <w:p>
      <w:pPr>
        <w:pStyle w:val="ListBullet"/>
      </w:pPr>
      <w:r>
        <w:t>Sandhurst Platform Acquisition (Whitfield) correspondence: Samir and Mira's threads have now been checked against the inputs in Section 2 and found immaterial — no updated proceeds, dilution, or ratchet figures supersede what is modeled here. Item closed.</w:t>
      </w:r>
    </w:p>
    <w:p>
      <w:pPr>
        <w:pStyle w:val="Heading2"/>
      </w:pPr>
      <w:r>
        <w:t>8. Cross-Check Against Closing Checklist Status</w:t>
      </w:r>
    </w:p>
    <w:p>
      <w:r>
        <w:t>As of this update, the deal team's closing checklist workstreams (estoppels, environmental diligence, Secretary's Certificates, good standing) have been separately tracked and reconciled by the team; none of those items bears on the dilution, ratchet, or waterfall inputs used above. Specifically: estoppel status is being tracked and reconciled independently against the checklist count; the environmental item flagged separately is a diligence matter unrelated to MIP mechanics; Secretary's Certificate and good-standing confirmations are closing-deliverable items with no effect on the MOIC-based ratchet calculation. No inputs in Sections 2 through 4 require adjustment on account of any of these workstreams. This reconciliation is confirmed current as of this update and requires no further revision on account of other closing-checklist activity.</w:t>
      </w:r>
    </w:p>
    <w:p>
      <w:pPr>
        <w:pStyle w:val="Heading2"/>
      </w:pPr>
      <w:r>
        <w:t>9. Final Status</w:t>
      </w:r>
    </w:p>
    <w:p>
      <w:r>
        <w:t>All items identified in Section 7, including the Sandhurst correspondence check, are now closed. The base case and downside case mechanics in Sections 3 and 4, the interim testing mechanic in Section 6, and the cross-check in Section 8 remain confirmed final on the inputs known at the time they were calculated. This document is now confirmed as the terminal version of the MIP mechanics reconciliation and is closing-set-ready on its stated inputs. Any figure that does not match a colleague's working numbers should be flagged immediately.</w:t>
      </w:r>
    </w:p>
    <w:p>
      <w:pPr>
        <w:pStyle w:val="Heading2"/>
      </w:pPr>
      <w:r>
        <w:t>10. Sandhurst Platform Acquisition Correspondence — Closed</w:t>
      </w:r>
    </w:p>
    <w:p>
      <w:r>
        <w:t>Samir and Mira's correspondence regarding the Sandhurst Platform Acquisition (Whitfield) has now been reviewed against the inputs in Section 2 and the mechanics in Sections 3, 4, and 6. That review confirmed the correspondence raises no changes to exit proceeds, dilution assumptions, or ratchet thresholds. This item is closed, and this reconciliation is final for purposes of the closing set.</w:t>
      </w:r>
    </w:p>
    <w:p>
      <w:r>
        <w:t>Delivered per the EOD commitment. Sections 1 through 10 remain accurate on their stated inputs; this reconciliation is final and closing-set-ready.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