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Yuki Tanabe Trademark Portfolio</w:t>
      </w:r>
    </w:p>
    <w:p>
      <w:r>
        <w:t>From: Klara Bendtsen, Senior Associate, IP &amp; Technology</w:t>
      </w:r>
    </w:p>
    <w:p>
      <w:r>
        <w:t>Re: Prioritization of Pending Trademark Oppositions — Ranking by Deadline and Risk</w:t>
      </w:r>
    </w:p>
    <w:p>
      <w:r>
        <w:t>Status: Active Triage — Ranking Below Is the Working Priority Order as of Today</w:t>
      </w:r>
    </w:p>
    <w:p>
      <w:r>
        <w:t>Top Priority Action: Staff Ranks 1 and 2 today. Confirm Rank 3's filing status with docketing before assigning further hours. This is not a status report — it is the order in which time gets spent starting now.</w:t>
      </w:r>
    </w:p>
    <w:p>
      <w:pPr>
        <w:pStyle w:val="Heading2"/>
      </w:pPr>
      <w:r>
        <w:t>Purpose</w:t>
      </w:r>
    </w:p>
    <w:p>
      <w:r>
        <w:t>This memo sets a working priority order for the trademark oppositions currently pending in the Tanabe portfolio, so that docketing deadlines and litigation risk drive resource allocation rather than the order matters happened to land on our desks. Ranking is by (1) statutory or Board-set deadline proximity and (2) assessed risk of losing the mark if we do not act. Deadlines below are as currently docketed; several are subject to confirmation and are flagged as such.</w:t>
      </w:r>
    </w:p>
    <w:p>
      <w:pPr>
        <w:pStyle w:val="Heading2"/>
      </w:pPr>
      <w:r>
        <w:t>Ranking Methodology</w:t>
      </w:r>
    </w:p>
    <w:p>
      <w:pPr>
        <w:pStyle w:val="ListNumber"/>
      </w:pPr>
      <w:r>
        <w:t>Tier 1 — Deadline inside 30 days AND high risk (mark is core to client's branding or revenue line): drop everything else.</w:t>
      </w:r>
    </w:p>
    <w:p>
      <w:pPr>
        <w:pStyle w:val="ListNumber"/>
      </w:pPr>
      <w:r>
        <w:t>Tier 2 — Deadline inside 30 days but lower risk, OR high risk with more runway: staff this week, confirm extension availability in parallel.</w:t>
      </w:r>
    </w:p>
    <w:p>
      <w:pPr>
        <w:pStyle w:val="ListNumber"/>
      </w:pPr>
      <w:r>
        <w:t>Tier 3 — Deadline beyond 30 days and moderate/low risk: monitor, revisit at next docket review.</w:t>
      </w:r>
    </w:p>
    <w:p>
      <w:pPr>
        <w:pStyle w:val="ListNumber"/>
      </w:pPr>
      <w:r>
        <w:t>Any matter with an unconfirmed TTAB deadline is held above its risk tier until docketing confirms the date — a matter cannot be safely deprioritized on a number nobody has verified.</w:t>
      </w:r>
    </w:p>
    <w:p>
      <w:pPr>
        <w:pStyle w:val="Heading2"/>
      </w:pPr>
      <w:r>
        <w:t>Priority Ranking — Triage Order for Immediate Staffing</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Mark / Opposer</w:t>
            </w:r>
          </w:p>
        </w:tc>
        <w:tc>
          <w:tcPr>
            <w:tcW w:type="dxa" w:w="1234"/>
          </w:tcPr>
          <w:p>
            <w:r>
              <w:t>TTAB Deadline</w:t>
            </w:r>
          </w:p>
        </w:tc>
        <w:tc>
          <w:tcPr>
            <w:tcW w:type="dxa" w:w="1234"/>
          </w:tcPr>
          <w:p>
            <w:r>
              <w:t>Deadline Status</w:t>
            </w:r>
          </w:p>
        </w:tc>
        <w:tc>
          <w:tcPr>
            <w:tcW w:type="dxa" w:w="1234"/>
          </w:tcPr>
          <w:p>
            <w:r>
              <w:t>Risk</w:t>
            </w:r>
          </w:p>
        </w:tc>
        <w:tc>
          <w:tcPr>
            <w:tcW w:type="dxa" w:w="1234"/>
          </w:tcPr>
          <w:p>
            <w:r>
              <w:t>Basis for Ranking</w:t>
            </w:r>
          </w:p>
        </w:tc>
        <w:tc>
          <w:tcPr>
            <w:tcW w:type="dxa" w:w="1234"/>
          </w:tcPr>
          <w:p>
            <w:r>
              <w:t>Action Now</w:t>
            </w:r>
          </w:p>
        </w:tc>
      </w:tr>
      <w:tr>
        <w:tc>
          <w:tcPr>
            <w:tcW w:type="dxa" w:w="1234"/>
          </w:tcPr>
          <w:p>
            <w:r>
              <w:t>1</w:t>
            </w:r>
          </w:p>
        </w:tc>
        <w:tc>
          <w:tcPr>
            <w:tcW w:type="dxa" w:w="1234"/>
          </w:tcPr>
          <w:p>
            <w:r>
              <w:t>TANABE WORDMARK — Opposition No. 91287103</w:t>
            </w:r>
          </w:p>
        </w:tc>
        <w:tc>
          <w:tcPr>
            <w:tcW w:type="dxa" w:w="1234"/>
          </w:tcPr>
          <w:p>
            <w:r>
              <w:t>14 days out (answer due)</w:t>
            </w:r>
          </w:p>
        </w:tc>
        <w:tc>
          <w:tcPr>
            <w:tcW w:type="dxa" w:w="1234"/>
          </w:tcPr>
          <w:p>
            <w:r>
              <w:t>Confirmed by docketing</w:t>
            </w:r>
          </w:p>
        </w:tc>
        <w:tc>
          <w:tcPr>
            <w:tcW w:type="dxa" w:w="1234"/>
          </w:tcPr>
          <w:p>
            <w:r>
              <w:t>High — core product mark, opposer has parallel use in adjacent class</w:t>
            </w:r>
          </w:p>
        </w:tc>
        <w:tc>
          <w:tcPr>
            <w:tcW w:type="dxa" w:w="1234"/>
          </w:tcPr>
          <w:p>
            <w:r>
              <w:t>Hard deadline inside two weeks; loss of mark would force a rebrand mid-launch</w:t>
            </w:r>
          </w:p>
        </w:tc>
        <w:tc>
          <w:tcPr>
            <w:tcW w:type="dxa" w:w="1234"/>
          </w:tcPr>
          <w:p>
            <w:r>
              <w:t>Staff today; assign drafting associate for answer by end of week</w:t>
            </w:r>
          </w:p>
        </w:tc>
      </w:tr>
      <w:tr>
        <w:tc>
          <w:tcPr>
            <w:tcW w:type="dxa" w:w="1234"/>
          </w:tcPr>
          <w:p>
            <w:r>
              <w:t>2</w:t>
            </w:r>
          </w:p>
        </w:tc>
        <w:tc>
          <w:tcPr>
            <w:tcW w:type="dxa" w:w="1234"/>
          </w:tcPr>
          <w:p>
            <w:r>
              <w:t>TANABE + DESIGN LOGO — Opposition No. 91287210</w:t>
            </w:r>
          </w:p>
        </w:tc>
        <w:tc>
          <w:tcPr>
            <w:tcW w:type="dxa" w:w="1234"/>
          </w:tcPr>
          <w:p>
            <w:r>
              <w:t>21 days out (discovery conference deadline)</w:t>
            </w:r>
          </w:p>
        </w:tc>
        <w:tc>
          <w:tcPr>
            <w:tcW w:type="dxa" w:w="1234"/>
          </w:tcPr>
          <w:p>
            <w:r>
              <w:t>Confirmed by docketing</w:t>
            </w:r>
          </w:p>
        </w:tc>
        <w:tc>
          <w:tcPr>
            <w:tcW w:type="dxa" w:w="1234"/>
          </w:tcPr>
          <w:p>
            <w:r>
              <w:t>High — logo is used on all current packaging</w:t>
            </w:r>
          </w:p>
        </w:tc>
        <w:tc>
          <w:tcPr>
            <w:tcW w:type="dxa" w:w="1234"/>
          </w:tcPr>
          <w:p>
            <w:r>
              <w:t>Deadline proximity plus high commercial exposure if abandoned</w:t>
            </w:r>
          </w:p>
        </w:tc>
        <w:tc>
          <w:tcPr>
            <w:tcW w:type="dxa" w:w="1234"/>
          </w:tcPr>
          <w:p>
            <w:r>
              <w:t>Staff today; confirm discovery conference date and prep checklist</w:t>
            </w:r>
          </w:p>
        </w:tc>
      </w:tr>
      <w:tr>
        <w:tc>
          <w:tcPr>
            <w:tcW w:type="dxa" w:w="1234"/>
          </w:tcPr>
          <w:p>
            <w:r>
              <w:t>3</w:t>
            </w:r>
          </w:p>
        </w:tc>
        <w:tc>
          <w:tcPr>
            <w:tcW w:type="dxa" w:w="1234"/>
          </w:tcPr>
          <w:p>
            <w:r>
              <w:t>TANABE FLOW (stylized) — Notice of Opposition threatened, not yet filed</w:t>
            </w:r>
          </w:p>
        </w:tc>
        <w:tc>
          <w:tcPr>
            <w:tcW w:type="dxa" w:w="1234"/>
          </w:tcPr>
          <w:p>
            <w:r>
              <w:t>Unconfirmed — awaiting docketing verification of any filed date</w:t>
            </w:r>
          </w:p>
        </w:tc>
        <w:tc>
          <w:tcPr>
            <w:tcW w:type="dxa" w:w="1234"/>
          </w:tcPr>
          <w:p>
            <w:r>
              <w:t>Not yet confirmed</w:t>
            </w:r>
          </w:p>
        </w:tc>
        <w:tc>
          <w:tcPr>
            <w:tcW w:type="dxa" w:w="1234"/>
          </w:tcPr>
          <w:p>
            <w:r>
              <w:t>Moderate — mark is secondary line extension, but opposer has a colorable priority claim</w:t>
            </w:r>
          </w:p>
        </w:tc>
        <w:tc>
          <w:tcPr>
            <w:tcW w:type="dxa" w:w="1234"/>
          </w:tcPr>
          <w:p>
            <w:r>
              <w:t>Held above its natural tier pending confirmation; cannot be deprioritized on an unverified non-date</w:t>
            </w:r>
          </w:p>
        </w:tc>
        <w:tc>
          <w:tcPr>
            <w:tcW w:type="dxa" w:w="1234"/>
          </w:tcPr>
          <w:p>
            <w:r>
              <w:t>Chase docketing for confirmation before committing further hours beyond preliminary risk read</w:t>
            </w:r>
          </w:p>
        </w:tc>
      </w:tr>
      <w:tr>
        <w:tc>
          <w:tcPr>
            <w:tcW w:type="dxa" w:w="1234"/>
          </w:tcPr>
          <w:p>
            <w:r>
              <w:t>4</w:t>
            </w:r>
          </w:p>
        </w:tc>
        <w:tc>
          <w:tcPr>
            <w:tcW w:type="dxa" w:w="1234"/>
          </w:tcPr>
          <w:p>
            <w:r>
              <w:t>TANABE LABS — Opposition No. 91286650</w:t>
            </w:r>
          </w:p>
        </w:tc>
        <w:tc>
          <w:tcPr>
            <w:tcW w:type="dxa" w:w="1234"/>
          </w:tcPr>
          <w:p>
            <w:r>
              <w:t>45 days out (testimony period)</w:t>
            </w:r>
          </w:p>
        </w:tc>
        <w:tc>
          <w:tcPr>
            <w:tcW w:type="dxa" w:w="1234"/>
          </w:tcPr>
          <w:p>
            <w:r>
              <w:t>Confirmed by docketing</w:t>
            </w:r>
          </w:p>
        </w:tc>
        <w:tc>
          <w:tcPr>
            <w:tcW w:type="dxa" w:w="1234"/>
          </w:tcPr>
          <w:p>
            <w:r>
              <w:t>Moderate — mark used for internal R&amp;D branding only, limited external exposure</w:t>
            </w:r>
          </w:p>
        </w:tc>
        <w:tc>
          <w:tcPr>
            <w:tcW w:type="dxa" w:w="1234"/>
          </w:tcPr>
          <w:p>
            <w:r>
              <w:t>Longer runway and lower commercial stakes support standard cadence</w:t>
            </w:r>
          </w:p>
        </w:tc>
        <w:tc>
          <w:tcPr>
            <w:tcW w:type="dxa" w:w="1234"/>
          </w:tcPr>
          <w:p>
            <w:r>
              <w:t>Normal cadence; revisit at next weekly docket review</w:t>
            </w:r>
          </w:p>
        </w:tc>
      </w:tr>
      <w:tr>
        <w:tc>
          <w:tcPr>
            <w:tcW w:type="dxa" w:w="1234"/>
          </w:tcPr>
          <w:p>
            <w:r>
              <w:t>5</w:t>
            </w:r>
          </w:p>
        </w:tc>
        <w:tc>
          <w:tcPr>
            <w:tcW w:type="dxa" w:w="1234"/>
          </w:tcPr>
          <w:p>
            <w:r>
              <w:t>TANABE ONE — Opposition No. 91285920</w:t>
            </w:r>
          </w:p>
        </w:tc>
        <w:tc>
          <w:tcPr>
            <w:tcW w:type="dxa" w:w="1234"/>
          </w:tcPr>
          <w:p>
            <w:r>
              <w:t>60+ days out (settlement window open)</w:t>
            </w:r>
          </w:p>
        </w:tc>
        <w:tc>
          <w:tcPr>
            <w:tcW w:type="dxa" w:w="1234"/>
          </w:tcPr>
          <w:p>
            <w:r>
              <w:t>Confirmed by docketing</w:t>
            </w:r>
          </w:p>
        </w:tc>
        <w:tc>
          <w:tcPr>
            <w:tcW w:type="dxa" w:w="1234"/>
          </w:tcPr>
          <w:p>
            <w:r>
              <w:t>Low — opposer's own filing basis is weak; settlement likely</w:t>
            </w:r>
          </w:p>
        </w:tc>
        <w:tc>
          <w:tcPr>
            <w:tcW w:type="dxa" w:w="1234"/>
          </w:tcPr>
          <w:p>
            <w:r>
              <w:t>Longest runway, lowest risk; monitor for settlement movement before committing further hours</w:t>
            </w:r>
          </w:p>
        </w:tc>
        <w:tc>
          <w:tcPr>
            <w:tcW w:type="dxa" w:w="1234"/>
          </w:tcPr>
          <w:p>
            <w:r>
              <w:t>Hold; check settlement status at next cycle only</w:t>
            </w:r>
          </w:p>
        </w:tc>
      </w:tr>
    </w:tbl>
    <w:p>
      <w:pPr>
        <w:pStyle w:val="Heading2"/>
      </w:pPr>
      <w:r>
        <w:t>Open Items Affecting This Ranking</w:t>
      </w:r>
    </w:p>
    <w:p>
      <w:pPr>
        <w:pStyle w:val="ListBullet"/>
      </w:pPr>
      <w:r>
        <w:t>Rank 3 (TANABE FLOW) is provisional. If docketing confirms no notice of opposition has actually been filed, this matter drops off the active ranking entirely and moves to watch status — trigger: docketing confirmation, expected this week.</w:t>
      </w:r>
    </w:p>
    <w:p>
      <w:pPr>
        <w:pStyle w:val="ListBullet"/>
      </w:pPr>
      <w:r>
        <w:t>Deadline confirmations for Ranks 1, 2, 4, and 5 rest on the current docketing report; any slippage reported back changes this table and should trigger an immediate re-rank, not a note for next cycle.</w:t>
      </w:r>
    </w:p>
    <w:p>
      <w:pPr>
        <w:pStyle w:val="ListBullet"/>
      </w:pPr>
      <w:r>
        <w:t>This ranking does not reflect caseload balance across timekeepers. Staffing against this order should be checked against current attorney capacity before assignments go out — to be confirmed before Rank 1 and 2 assignments are finalized today.</w:t>
      </w:r>
    </w:p>
    <w:p>
      <w:pPr>
        <w:pStyle w:val="Heading2"/>
      </w:pPr>
      <w:r>
        <w:t>Recommendation — Next Actions, in Order</w:t>
      </w:r>
    </w:p>
    <w:p>
      <w:pPr>
        <w:pStyle w:val="ListNumber"/>
      </w:pPr>
      <w:r>
        <w:t>Assign associate coverage on Rank 1 (TANABE WORDMARK) today; answer due in 14 days.</w:t>
      </w:r>
    </w:p>
    <w:p>
      <w:pPr>
        <w:pStyle w:val="ListNumber"/>
      </w:pPr>
      <w:r>
        <w:t>Assign associate coverage on Rank 2 (TANABE + DESIGN LOGO) today; discovery conference deadline in 21 days.</w:t>
      </w:r>
    </w:p>
    <w:p>
      <w:pPr>
        <w:pStyle w:val="ListNumber"/>
      </w:pPr>
      <w:r>
        <w:t>Chase docketing now for confirmation on Rank 3 (TANABE FLOW); do not commit associate time beyond a preliminary risk read until confirmed.</w:t>
      </w:r>
    </w:p>
    <w:p>
      <w:pPr>
        <w:pStyle w:val="ListNumber"/>
      </w:pPr>
      <w:r>
        <w:t>Leave Ranks 4 and 5 on normal cadence; re-open Rank 5 only if settlement talks stall.</w:t>
      </w:r>
    </w:p>
    <w:p>
      <w:pPr>
        <w:pStyle w:val="ListNumber"/>
      </w:pPr>
      <w:r>
        <w:t>Cross-check attorney capacity against Ranks 1 and 2 staffing before assignments go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