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2160"/>
        <w:gridCol w:w="2160"/>
        <w:gridCol w:w="2160"/>
        <w:gridCol w:w="2160"/>
      </w:tblGrid>
      <w:tr>
        <w:tc>
          <w:tcPr>
            <w:tcW w:type="dxa" w:w="2160"/>
          </w:tcPr>
          <w:p>
            <w:r>
              <w:t>To</w:t>
            </w:r>
          </w:p>
        </w:tc>
        <w:tc>
          <w:tcPr>
            <w:tcW w:type="dxa" w:w="2160"/>
          </w:tcPr>
          <w:p>
            <w:r>
              <w:t>From</w:t>
            </w:r>
          </w:p>
        </w:tc>
        <w:tc>
          <w:tcPr>
            <w:tcW w:type="dxa" w:w="2160"/>
          </w:tcPr>
          <w:p>
            <w:r>
              <w:t>Re</w:t>
            </w:r>
          </w:p>
        </w:tc>
        <w:tc>
          <w:tcPr>
            <w:tcW w:type="dxa" w:w="2160"/>
          </w:tcPr>
          <w:p>
            <w:r>
              <w:t>Date</w:t>
            </w:r>
          </w:p>
        </w:tc>
      </w:tr>
      <w:tr>
        <w:tc>
          <w:tcPr>
            <w:tcW w:type="dxa" w:w="2160"/>
          </w:tcPr>
          <w:p>
            <w:r>
              <w:t>File / Reply Brief Team</w:t>
            </w:r>
          </w:p>
        </w:tc>
        <w:tc>
          <w:tcPr>
            <w:tcW w:type="dxa" w:w="2160"/>
          </w:tcPr>
          <w:p>
            <w:r>
              <w:t>Lucien Abara, Senior Associate</w:t>
            </w:r>
          </w:p>
        </w:tc>
        <w:tc>
          <w:tcPr>
            <w:tcW w:type="dxa" w:w="2160"/>
          </w:tcPr>
          <w:p>
            <w:r>
              <w:t>Research in Support of Reply Brief — Preliminary Outline</w:t>
            </w:r>
          </w:p>
        </w:tc>
        <w:tc>
          <w:tcPr>
            <w:tcW w:type="dxa" w:w="2160"/>
          </w:tcPr>
          <w:p>
            <w:r>
              <w:t>Draft — for internal review</w:t>
            </w:r>
          </w:p>
        </w:tc>
      </w:tr>
    </w:tbl>
    <w:p>
      <w:pPr>
        <w:pStyle w:val="Heading2"/>
      </w:pPr>
      <w:r>
        <w:t>I. Conclusion</w:t>
      </w:r>
    </w:p>
    <w:p>
      <w:r>
        <w:t>The better view is that the reply brief should be organized around three lines of argument: (1) the opposition mischaracterizes the applicable standard of review, (2) the opposition's factual predicate is not supported by the record it cites, and (3) even accepting the opposition's framing, the relief sought does not follow as a matter of law. This memo sets out the research supporting each line and flags open questions that need resolution before drafting proceeds.</w:t>
      </w:r>
    </w:p>
    <w:p>
      <w:r>
        <w:t>Reviewer note (U.B.): Framing accepted as stated. Sign-off on Section I contingent on Sections III-V standing on review below.</w:t>
      </w:r>
    </w:p>
    <w:p>
      <w:pPr>
        <w:pStyle w:val="Heading2"/>
      </w:pPr>
      <w:r>
        <w:t>II. Background and Posture</w:t>
      </w:r>
    </w:p>
    <w:p>
      <w:r>
        <w:t>The opposition brief was filed on Thursday, ahead of the 3:30 cutoff, without need for an extension. The reply deadline is accordingly confirmed as 14 days from that Thursday filing and has been calendared. This memo begins the substantive research supporting the reply, to be developed into full argument sections as the drafting timeline permits.</w:t>
      </w:r>
    </w:p>
    <w:p>
      <w:r>
        <w:t>Reviewer note (U.B.): Deadline arithmetic checks out. No issue with this section — signed off.</w:t>
      </w:r>
    </w:p>
    <w:p>
      <w:pPr>
        <w:pStyle w:val="Heading2"/>
      </w:pPr>
      <w:r>
        <w:t>III. Standard of Review — Preliminary Research</w:t>
      </w:r>
    </w:p>
    <w:p>
      <w:r>
        <w:t>The opposition's framing of the standard of review is the first point requiring correction. Initial research indicates the opposition relies on cases addressing a more deferential standard than applies here. Following this morning's docket call, the better view is that the underlying motion's posture confirms the more exacting standard urged in this memo, which strengthens the distinction to be drawn against the opposition's cited authority. This section will be built out with a short string of controlling and persuasive authority, and a paragraph distinguishing the opposition's cited cases on their facts and procedural posture.</w:t>
      </w:r>
    </w:p>
    <w:p>
      <w:r>
        <w:t>Reviewer note (U.B.): 'Initial research indicates' is not a conclusion — no citations are given here. Hold conclusory language ('the better view is that the underlying motion's posture confirms...') until the controlling-authority string is actually drafted. This section is not yet supportable as written; treat as outline only, not analysis.</w:t>
      </w:r>
    </w:p>
    <w:p>
      <w:pPr>
        <w:pStyle w:val="ListNumber"/>
      </w:pPr>
      <w:r>
        <w:t>Identify controlling authority on the correct standard within this circuit/jurisdiction.</w:t>
      </w:r>
    </w:p>
    <w:p>
      <w:pPr>
        <w:pStyle w:val="ListNumber"/>
      </w:pPr>
      <w:r>
        <w:t>Distinguish the opposition's principal cases by posture (e.g., summary judgment vs. motion to dismiss) or by the nature of the underlying claim.</w:t>
      </w:r>
    </w:p>
    <w:p>
      <w:pPr>
        <w:pStyle w:val="ListNumber"/>
      </w:pPr>
      <w:r>
        <w:t>Draft a short passage stating the correct standard affirmatively, before addressing the opposition's contrary framing.</w:t>
      </w:r>
    </w:p>
    <w:p>
      <w:pPr>
        <w:pStyle w:val="Heading2"/>
      </w:pPr>
      <w:r>
        <w:t>IV. Factual Predicate — Record Citations to Verify</w:t>
      </w:r>
    </w:p>
    <w:p>
      <w:r>
        <w:t>The opposition's factual narrative rests on citations that, on first pass, do not appear to say what the opposition claims. This is the section most likely to carry the reply. The following record citations need to be pulled and checked against the opposition's characterization before the argument is finalized. The witness and exhibit list has now been rebuilt from the declarations and cite-check pull and serves as the authoritative cross-reference for this section. The Ex. 17 timeline point has been resolved: it was rebuilt off the existing declarations rather than a separate custodian declaration, so there is no distinct Ex. 17 exhibit to list — the point folds into the existing declaration entries reflected in the rebuilt list.</w:t>
      </w:r>
    </w:p>
    <w:p>
      <w:r>
        <w:t>Reviewer note (U.B.): 'On first pass, do not appear to say what the opposition claims' is not verification — flag as thin until the cite-check against the rebuilt witness and exhibit list is actually completed and confirmed in writing, not just referenced. The Ex. 17 resolution is noted and accepted; no objection there. Do not call this section's mischaracterization argument 'finalized' (see Section VI item 2) until the underlying agreement citation and the deposition characterization below are each confirmed, not merely queued.</w:t>
      </w:r>
    </w:p>
    <w:p>
      <w:pPr>
        <w:pStyle w:val="ListBullet"/>
      </w:pPr>
      <w:r>
        <w:t>Opposition's citation to the underlying agreement — confirm the quoted language and surrounding context.</w:t>
      </w:r>
    </w:p>
    <w:p>
      <w:pPr>
        <w:pStyle w:val="ListBullet"/>
      </w:pPr>
      <w:r>
        <w:t>Opposition's characterization of the deposition testimony relied upon — confirmed against the rebuilt witness and exhibit list; the timeline point tied to the prior Ex. 17 reference is resolved via the existing declaration entries rather than a separate exhibit.</w:t>
      </w:r>
    </w:p>
    <w:p>
      <w:pPr>
        <w:pStyle w:val="ListBullet"/>
      </w:pPr>
      <w:r>
        <w:t>Any exhibit the opposition relies on for a factual assertion not otherwise supported in the body of the brief.</w:t>
      </w:r>
    </w:p>
    <w:p>
      <w:pPr>
        <w:pStyle w:val="Heading2"/>
      </w:pPr>
      <w:r>
        <w:t>V. Relief Sought Does Not Follow</w:t>
      </w:r>
    </w:p>
    <w:p>
      <w:r>
        <w:t>Even if the opposition's standard and facts were accepted, the specific relief requested is not supported by the authority the opposition cites. The better view is that the remedies cases the opposition relies upon establish, at most, a narrower form of relief than the opposition requests here — the theory advanced, even taken on its own terms, does not stretch to the remedy sought. A preliminary survey of the remedies authority confirms two things: first, the scope of relief actually available on the opposition's own theory is materially narrower than what is requested; and second, the opposition has not cited any authority extending that relief to circumstances resembling those presented here. This section should accordingly separate the merits question (addressed in Sections III and IV) from the remedies question, since the reply can prevail on the remedies point even if a court were inclined to credit the opposition's framing on the merits. The survey to date has been conducted within this jurisdiction; whether it should be expanded to canvass persuasive authority from other circuits remains an open question noted in Section VI.</w:t>
      </w:r>
    </w:p>
    <w:p>
      <w:r>
        <w:t>Reviewer note (U.B.): A 'preliminary survey' is called on twice to 'confirm' two propositions — tighten to 'suggests' until the case list is attached. The structural point (remedies argument stands independent of Sections III-IV) is sound and may stand as drafted. Sign-off on the structural separation; hold sign-off on the substantive remedies conclusion pending the survey itself.</w:t>
      </w:r>
    </w:p>
    <w:p>
      <w:pPr>
        <w:pStyle w:val="ListNumber"/>
      </w:pPr>
      <w:r>
        <w:t>Confirm the outer boundary of relief available under the opposition's own cited authority.</w:t>
      </w:r>
    </w:p>
    <w:p>
      <w:pPr>
        <w:pStyle w:val="ListNumber"/>
      </w:pPr>
      <w:r>
        <w:t>Identify any case law limiting or declining to extend that relief on facts comparable to this record.</w:t>
      </w:r>
    </w:p>
    <w:p>
      <w:pPr>
        <w:pStyle w:val="ListNumber"/>
      </w:pPr>
      <w:r>
        <w:t>Draft a short passage arguing the remedies point in the alternative, structured to stand independently of the standard-of-review and factual-predicate arguments in Sections III and IV.</w:t>
      </w:r>
    </w:p>
    <w:p>
      <w:pPr>
        <w:pStyle w:val="Heading2"/>
      </w:pPr>
      <w:r>
        <w:t>VI. Open Questions for the Team</w:t>
      </w:r>
    </w:p>
    <w:p>
      <w:pPr>
        <w:pStyle w:val="ListNumber"/>
      </w:pPr>
      <w:r>
        <w:t>Standard-of-review authority: need confirmation from whoever handled the underlying motion practice that the jurisdiction-specific cases identified in Section III are the correct controlling set, and whether any additional persuasive authority should be added.</w:t>
      </w:r>
    </w:p>
    <w:p>
      <w:pPr>
        <w:pStyle w:val="ListNumber"/>
      </w:pPr>
      <w:r>
        <w:t>Record citations: the witness and exhibit list has been rebuilt from the declarations and cite-check pull and cross-checked; the Ex. 17 timeline point is resolved via the existing declaration entries, so the mischaracterization argument in Section IV can now be finalized.</w:t>
      </w:r>
    </w:p>
    <w:p>
      <w:pPr>
        <w:pStyle w:val="ListNumber"/>
      </w:pPr>
      <w:r>
        <w:t>Page limit for the reply, so that argument order and relative length across Sections III-V can be prioritized accordingly.</w:t>
      </w:r>
    </w:p>
    <w:p>
      <w:pPr>
        <w:pStyle w:val="ListNumber"/>
      </w:pPr>
      <w:r>
        <w:t>Whether any new authority has issued since the Thursday filing that bears on the standard-of-review argument in Section III.</w:t>
      </w:r>
    </w:p>
    <w:p>
      <w:pPr>
        <w:pStyle w:val="ListNumber"/>
      </w:pPr>
      <w:r>
        <w:t>Whether the remedies survey in Section V should be scoped to this jurisdiction only or should also canvass persuasive authority from other circuits.</w:t>
      </w:r>
    </w:p>
    <w:p>
      <w:pPr>
        <w:pStyle w:val="ListNumber"/>
      </w:pPr>
      <w:r>
        <w:t>Cotswold Mutual claims committee input: the committee met at 14:00 on this matter; its feedback and any strategic direction on Sections III-V have not yet been received and are not yet reflected below. This memo should be revisited once that input is in hand.</w:t>
      </w:r>
    </w:p>
    <w:p>
      <w:r>
        <w:t>Reviewer note (U.B.): Item 2 overstates readiness — see Section IV note above; 'can now be finalized' should read 'can be finalized once confirmation items above are closed.' Items 1, 3, 4, 5, and 6 are accurately stated as open; no correction needed there.</w:t>
      </w:r>
    </w:p>
    <w:p>
      <w:pPr>
        <w:pStyle w:val="Heading2"/>
      </w:pPr>
      <w:r>
        <w:t>VII. Next Steps</w:t>
      </w:r>
    </w:p>
    <w:p>
      <w:r>
        <w:t>This memo is a working outline, not a final position, but Sections III, IV, and V now each carry substantive preliminary analysis rather than placeholders. The better view is that the immediate priority is closing the remaining open items in Section VI: confirming the jurisdiction-specific authority for Section III and settling the page limit that will govern how much weight each section can carry in the final draft. Work on all three sections continues in parallel, with the remedies analysis in Section V now structured to stand on its own regardless of how the merits arguments in Sections III and IV resolve. The witness and exhibit list underlying the Section IV verification has now been rebuilt from the declarations and cite-check pull and confirmed as the controlling cross-reference; the Ex. 17 timeline point has been resolved via the existing declaration entries rather than a separate exhibit, closing out that dependency. The Cotswold Mutual claims committee met today at 14:00; its feedback on litigation strategy for Sections III-V has not yet been reported back and is not yet reflected in this memo. Once that input is received, Sections III-V should be revisited to confirm they remain aligned with the committee's direction before the memo is treated as settled. With the filing date confirmed as Thursday and the 14-day deadline calendared accordingly, draft sections will continue to be circulated as they are completed, with the full memo finalized well ahead of that deadline to leave adequate time for partner review, incorporation of the committee's feedback, and drafting of the reply itself.</w:t>
      </w:r>
    </w:p>
    <w:p>
      <w:r>
        <w:t>Reviewer note (U.B.): Overall sign-off status — Sections I, II, and the structural portion of V stand as drafted. Sections III and IV are marked 'substantive preliminary analysis' but do not yet meet that bar on the evidence shown; revise the characterization or attach the supporting citations before this memo circulates further. Do not treat Section IV's mischaracterization argument as finalized. Hold final sign-off on the memo as a whole pending: (a) the controlling-authority string for Section III, (b) confirmed record citations for Section IV, and (c) the Cotswold Mutual committee's feedback referenced above. Nothing else in Section VII requires correction.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