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Memorandum</w:t>
      </w:r>
    </w:p>
    <w:p>
      <w:r>
        <w:t>To: File — Verity Grain / Ardmore Elevator Acquisition</w:t>
      </w:r>
    </w:p>
    <w:p>
      <w:r>
        <w:t>From: Bennett Ashworth</w:t>
      </w:r>
    </w:p>
    <w:p>
      <w:r>
        <w:t>Re: Routing decision on chain-of-access for the Deshmukh custodian file; resolution of outstanding escalation</w:t>
      </w:r>
    </w:p>
    <w:p>
      <w:pPr>
        <w:pStyle w:val="Heading2"/>
      </w:pPr>
      <w:r>
        <w:t>I. Purpose</w:t>
      </w:r>
    </w:p>
    <w:p>
      <w:r>
        <w:t>This memorandum records the routing decision reached on the chain-of-access question concerning the Deshmukh custodian file in the Ardmore elevator acquisition, and closes out the escalation that had been pending against Gideon's document set. The item required six rounds of follow-up before resolution; this memo sets out what was decided, the basis for it, and what remains to be done before closing can be certified clean for diligence purposes.</w:t>
      </w:r>
    </w:p>
    <w:p>
      <w:pPr>
        <w:pStyle w:val="Heading2"/>
      </w:pPr>
      <w:r>
        <w:t>II. Background</w:t>
      </w:r>
    </w:p>
    <w:p>
      <w:r>
        <w:t>The chain-of-access issue arose out of custodian handling on the Deshmukh file within the broader Gideon production set assembled for the Ardmore diligence review. Access logs for that custodian's material showed a gap between collection and review-platform ingestion that could not initially be reconciled against the vendor's standard chain-of-custody documentation. Five prior requests to the processing vendor and internal IT went unanswered before this matter was escalated directly. Rosalie Duchamp confirmed in chat correspondence that the chain-of-access question on Deshmukh has now been resolved on the vendor side; this memo documents the routing decision that follows from that resolution and sets the record straight for the file.</w:t>
      </w:r>
    </w:p>
    <w:p>
      <w:pPr>
        <w:pStyle w:val="Heading2"/>
      </w:pPr>
      <w:r>
        <w:t>III. Routing Decision</w:t>
      </w:r>
    </w:p>
    <w:p>
      <w:r>
        <w:t>The following routing is adopted effective immediately:</w:t>
      </w:r>
    </w:p>
    <w:p>
      <w:pPr>
        <w:pStyle w:val="ListNumber"/>
      </w:pPr>
      <w:r>
        <w:t>The Deshmukh custodian file is routed to the reviewed-and-cleared queue. No further hold applies for chain-of-access purposes.</w:t>
      </w:r>
    </w:p>
    <w:p>
      <w:pPr>
        <w:pStyle w:val="ListNumber"/>
      </w:pPr>
      <w:r>
        <w:t>The vendor's supplemental chain-of-custody certification, once received in final form, is to be appended to the diligence file as an exhibit rather than treated as a standalone deliverable. See record.</w:t>
      </w:r>
    </w:p>
    <w:p>
      <w:pPr>
        <w:pStyle w:val="ListNumber"/>
      </w:pPr>
      <w:r>
        <w:t>Any downstream work product citing Deshmukh custodian documents (memoranda, disclosure schedule references, representations in the purchase agreement) may proceed on the understanding that the access gap has been closed and documented.</w:t>
      </w:r>
    </w:p>
    <w:p>
      <w:pPr>
        <w:pStyle w:val="ListNumber"/>
      </w:pPr>
      <w:r>
        <w:t>The escalation channel opened against Gideon is closed. Any recurrence of unresponsiveness on chain-of-access items from that vendor is to be escalated to me directly and not run through the standard queue — five unanswered follow-ups on a diligence-critical item is not an acceptable pattern and will not be repeated on this file.</w:t>
      </w:r>
    </w:p>
    <w:p>
      <w:pPr>
        <w:pStyle w:val="Heading2"/>
      </w:pPr>
      <w:r>
        <w:t>IV. Basis for the Decision</w:t>
      </w:r>
    </w:p>
    <w:p>
      <w:r>
        <w:t>The routing reflects three considerations. First, the underlying substantive review of the Deshmukh material was never in question — the issue was documentary chain-of-custody, not the content or relevance of the custodian's files. Second, further delay on this single item was holding up sign-off on the broader Ardmore diligence workstream, which the deal timeline cannot absorb. Third, the vendor's confirmation, corroborated by Ms. Duchamp, is sufficient to close the gap on this record; if the final written certification when received varies materially from what has been represented, the routing decision here is revisited and the file reopened.</w:t>
      </w:r>
    </w:p>
    <w:p>
      <w:pPr>
        <w:pStyle w:val="Heading2"/>
      </w:pPr>
      <w:r>
        <w:t>V. Outstanding Items</w:t>
      </w:r>
    </w:p>
    <w:p>
      <w:pPr>
        <w:pStyle w:val="ListBullet"/>
      </w:pPr>
      <w:r>
        <w:t>Final written chain-of-custody certification from the vendor — to be appended to the diligence file upon receipt.</w:t>
      </w:r>
    </w:p>
    <w:p>
      <w:pPr>
        <w:pStyle w:val="ListBullet"/>
      </w:pPr>
      <w:r>
        <w:t>Confirmation from the associate team that no other custodian files in the Gideon production carry the same access-gap defect.</w:t>
      </w:r>
    </w:p>
    <w:p>
      <w:pPr>
        <w:pStyle w:val="ListBullet"/>
      </w:pPr>
      <w:r>
        <w:t>Ulrich Bergmann's Ravenna item remains queued separately and is not affected by this routing decision.</w:t>
      </w:r>
    </w:p>
    <w:p>
      <w:pPr>
        <w:pStyle w:val="Heading2"/>
      </w:pPr>
      <w:r>
        <w:t>VI. Conclusion</w:t>
      </w:r>
    </w:p>
    <w:p>
      <w:r>
        <w:t>The chain-of-access question on the Deshmukh custodian file is resolved on the terms above. The diligence file is cleared to proceed on that basis, subject to receipt of the vendor's final written certification. See record for the underlying correspondence supporting this determination.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