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Verity Grain / Hollstead Supply Dispute</w:t>
      </w:r>
    </w:p>
    <w:p>
      <w:pPr>
        <w:pStyle w:val="Heading2"/>
      </w:pPr>
      <w:r>
        <w:t>Status Memo — Supplier Counterclaim</w:t>
      </w:r>
    </w:p>
    <w:p>
      <w:r>
        <w:t>To: Dov</w:t>
      </w:r>
    </w:p>
    <w:p>
      <w:r>
        <w:t>From: Quentin Sarr</w:t>
      </w:r>
    </w:p>
    <w:p>
      <w:r>
        <w:t>Re: Status, open items, and escalation risk on the Hollstead supplier counterclaim</w:t>
      </w:r>
    </w:p>
    <w:p>
      <w:pPr>
        <w:pStyle w:val="Heading2"/>
      </w:pPr>
      <w:r>
        <w:t>1. Current Status</w:t>
      </w:r>
    </w:p>
    <w:p>
      <w:r>
        <w:t>I have not yet received the underlying supplier counterclaim file or the related correspondence between Hollstead and its supplier. I also do not currently know who holds this material. Without it, I cannot verify or produce real figures for exposure, potential recovery, or the associated fee estimate, and I cannot confirm whether a preservation deadline applies or when it falls. Every number referenced below is therefore explicitly unconfirmed and should not be relied on for any client-facing purpose.</w:t>
      </w:r>
    </w:p>
    <w:p>
      <w:pPr>
        <w:pStyle w:val="Heading2"/>
      </w:pPr>
      <w:r>
        <w:t>2. Open Items</w:t>
      </w:r>
    </w:p>
    <w:p>
      <w:pPr>
        <w:pStyle w:val="ListNumber"/>
      </w:pPr>
      <w:r>
        <w:t>Obtain the underlying supplier counterclaim file and correspondence — outstanding, holder unknown.</w:t>
      </w:r>
    </w:p>
    <w:p>
      <w:pPr>
        <w:pStyle w:val="ListNumber"/>
      </w:pPr>
      <w:r>
        <w:t>Identify a specific person to chase directly for the file, since the current holder is unclear.</w:t>
      </w:r>
    </w:p>
    <w:p>
      <w:pPr>
        <w:pStyle w:val="ListNumber"/>
      </w:pPr>
      <w:r>
        <w:t>Confirm receipt of the MIP memo by Whitfield/Sandhurst — still unconfirmed as of this memo; this is blocked on the same missing file.</w:t>
      </w:r>
    </w:p>
    <w:p>
      <w:pPr>
        <w:pStyle w:val="ListNumber"/>
      </w:pPr>
      <w:r>
        <w:t>Confirm whether a preservation deadline applies to the supplier counterclaim, and if so, when it falls.</w:t>
      </w:r>
    </w:p>
    <w:p>
      <w:pPr>
        <w:pStyle w:val="ListNumber"/>
      </w:pPr>
      <w:r>
        <w:t>Produce real exposure, recovery, and fee figures once the file is received.</w:t>
      </w:r>
    </w:p>
    <w:p>
      <w:pPr>
        <w:pStyle w:val="Heading2"/>
      </w:pPr>
      <w:r>
        <w:t>3. Preliminary Lean (Caveated)</w:t>
      </w:r>
    </w:p>
    <w:p>
      <w:r>
        <w:t>Absent the source material, my preliminary lean is toward pushing the supplier counterclaim. This lean is an estimate only, is not backed by real numbers, and should be treated as provisional pending review of the actual file. It should not be used to set exposure, recovery, or fee expectations with the client or with opposing counsel.</w:t>
      </w:r>
    </w:p>
    <w:p>
      <w:pPr>
        <w:pStyle w:val="Heading2"/>
      </w:pPr>
      <w:r>
        <w:t>4. Escalation Risk and Deadline</w:t>
      </w:r>
    </w:p>
    <w:p>
      <w:r>
        <w:t>I am setting a firm deadline of 3:00 PM today for Dov to send the underlying source material. If nothing arrives by then, I will proceed on the caveated preliminary lean above, flagged throughout as an estimate, and will continue working the remaining open items in parallel.</w:t>
      </w:r>
    </w:p>
    <w:p>
      <w:r>
        <w:t>Standing commitments, previously communicated and reaffirmed here:</w:t>
      </w:r>
    </w:p>
    <w:p>
      <w:pPr>
        <w:pStyle w:val="ListBullet"/>
      </w:pPr>
      <w:r>
        <w:t>Real exposure, recovery, and fee numbers will be produced within one hour of receiving the file.</w:t>
      </w:r>
    </w:p>
    <w:p>
      <w:pPr>
        <w:pStyle w:val="ListBullet"/>
      </w:pPr>
      <w:r>
        <w:t>If the preservation deadline turns out to fall before tomorrow, I will call immediately rather than wait for a written update.</w:t>
      </w:r>
    </w:p>
    <w:p>
      <w:pPr>
        <w:pStyle w:val="ListBullet"/>
      </w:pPr>
      <w:r>
        <w:t>I need a name to chase directly for the file, since the current holder is unknown to me.</w:t>
      </w:r>
    </w:p>
    <w:p>
      <w:pPr>
        <w:pStyle w:val="Heading2"/>
      </w:pPr>
      <w:r>
        <w:t>5. Related Matters (For Awareness Only)</w:t>
      </w:r>
    </w:p>
    <w:p>
      <w:r>
        <w:t>Separately, and not part of the exposure analysis above: Whitfield's escalation to counsel on the outstanding tenant estoppels has been posted to the deal channel; no response from counsel has been received yet, and the same escalation threshold will apply again if this round comes up empty. The Delaware good-standing count is still pending from Samir. Both items will be updated as they clear, but neither substitutes for the missing supplier counterclaim file, which remains the controlling blocker on this memo's subject matter.</w:t>
      </w:r>
    </w:p>
    <w:p>
      <w:pPr>
        <w:pStyle w:val="Heading2"/>
      </w:pPr>
      <w:r>
        <w:t>6. Bottom Line</w:t>
      </w:r>
    </w:p>
    <w:p>
      <w:r>
        <w:t>No supplier counterclaim file has arrived, the holder is unknown, and confirmation of receipt by Whitfield/Sandhurst remains unresolved as a result. Exposure, recovery, fee estimate, and preservation deadline are all unconfirmed. The 3:00 PM deadline stands; the caveated lean toward pushing the counterclaim will govern interim work product only until real figures are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