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PRIVILEGED AND CONFIDENTIAL — ATTORNEY WORK PRODUCT</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 — Verity Grain / Hollstead Supply Dispute</w:t>
            </w:r>
          </w:p>
        </w:tc>
      </w:tr>
      <w:tr>
        <w:tc>
          <w:tcPr>
            <w:tcW w:type="dxa" w:w="4320"/>
          </w:tcPr>
          <w:p>
            <w:r>
              <w:t>From</w:t>
            </w:r>
          </w:p>
        </w:tc>
        <w:tc>
          <w:tcPr>
            <w:tcW w:type="dxa" w:w="4320"/>
          </w:tcPr>
          <w:p>
            <w:r>
              <w:t>Lucien Abara, Senior Associate</w:t>
            </w:r>
          </w:p>
        </w:tc>
      </w:tr>
      <w:tr>
        <w:tc>
          <w:tcPr>
            <w:tcW w:type="dxa" w:w="4320"/>
          </w:tcPr>
          <w:p>
            <w:r>
              <w:t>Re</w:t>
            </w:r>
          </w:p>
        </w:tc>
        <w:tc>
          <w:tcPr>
            <w:tcW w:type="dxa" w:w="4320"/>
          </w:tcPr>
          <w:p>
            <w:r>
              <w:t>Analysis of Hollstead's Anticipatory Repudiation Defense and Recommended Motion Strategy</w:t>
            </w:r>
          </w:p>
        </w:tc>
      </w:tr>
      <w:tr>
        <w:tc>
          <w:tcPr>
            <w:tcW w:type="dxa" w:w="4320"/>
          </w:tcPr>
          <w:p>
            <w:r>
              <w:t>Date</w:t>
            </w:r>
          </w:p>
        </w:tc>
        <w:tc>
          <w:tcPr>
            <w:tcW w:type="dxa" w:w="4320"/>
          </w:tcPr>
          <w:p>
            <w:r>
              <w:t>Today</w:t>
            </w:r>
          </w:p>
        </w:tc>
      </w:tr>
    </w:tbl>
    <w:p>
      <w:pPr>
        <w:pStyle w:val="Heading2"/>
      </w:pPr>
      <w:r>
        <w:t>Conclusion</w:t>
      </w:r>
    </w:p>
    <w:p>
      <w:r>
        <w:t>The better view is that Hollstead's anticipatory repudiation defense is not viable on the current record, and Verity Grain should move for partial summary judgment on liability while reserving damages for trial. Hollstead's March correspondence, read against the delivery schedule in the supply agreement, does not rise to the 'clear and unequivocal' refusal required under the governing UCC standard. The correspondence at most reflects a request to renegotiate price terms in light of the freight cost increase, which is not repudiation. A motion grounded in this distinction is well supported and should be filed promptly, before the parties complete fact discovery and before Hollstead has the opportunity to develop a more considered version of its defense through deposition testimony.</w:t>
      </w:r>
    </w:p>
    <w:p>
      <w:pPr>
        <w:pStyle w:val="Heading2"/>
      </w:pPr>
      <w:r>
        <w:t>Background</w:t>
      </w:r>
    </w:p>
    <w:p>
      <w:r>
        <w:t>Verity Grain and Hollstead Agricultural Supply entered into a three-year requirements contract for the delivery of grain elevator components, with fixed pricing subject to a freight adjustment clause capped at 4% annually. In March, Hollstead's operations director sent a letter stating that 'continued performance at the contracted price is becoming increasingly difficult to sustain' and requesting a meeting to 'discuss the path forward.' Verity Grain treated this as an anticipatory repudiation, terminated the agreement, and covered its requirements through a substitute supplier at a materially higher price. Hollstead has since asserted, as an affirmative defense, that its March letter was a good-faith request for adjustment under the contract's cooperation clause and not a repudiation, and that Verity Grain's termination was itself the breach.</w:t>
      </w:r>
    </w:p>
    <w:p>
      <w:pPr>
        <w:pStyle w:val="Heading2"/>
      </w:pPr>
      <w:r>
        <w:t>Analysis</w:t>
      </w:r>
    </w:p>
    <w:p>
      <w:pPr>
        <w:pStyle w:val="Heading3"/>
      </w:pPr>
      <w:r>
        <w:t>1. The Repudiation Standard</w:t>
      </w:r>
    </w:p>
    <w:p>
      <w:r>
        <w:t>Under the UCC and the parties' choice-of-law provision, a party repudiates a contract only through conduct or a statement that constitutes a clear, unequivocal, and absolute refusal to perform. A mere request to renegotiate, an expression of financial difficulty, or an inquiry about alternative terms does not meet that standard unless coupled with an actual refusal to perform absent the requested change. Hollstead's letter does neither. It requests a meeting. It does not state that Hollstead will cease performance, will not deliver, or will only deliver on revised terms.</w:t>
      </w:r>
    </w:p>
    <w:p>
      <w:pPr>
        <w:pStyle w:val="Heading3"/>
      </w:pPr>
      <w:r>
        <w:t>2. Why Hollstead's Defense Is Weaker Than It Looks</w:t>
      </w:r>
    </w:p>
    <w:p>
      <w:r>
        <w:t>Hollstead will argue that the letter must be read in the context of the parties' course of dealing, including two prior instances in which Hollstead sought and received informal price relief. That argument cuts against Hollstead, not for it: it establishes that the parties had an established mechanism for renegotiation short of repudiation, and that Hollstead's March letter followed that same pattern rather than departing from it. If anything, the course of dealing shows Verity Grain's termination was the more aggressive and less contractually grounded act.</w:t>
      </w:r>
    </w:p>
    <w:p>
      <w:pPr>
        <w:pStyle w:val="Heading3"/>
      </w:pPr>
      <w:r>
        <w:t>3. The Damages Complication</w:t>
      </w:r>
    </w:p>
    <w:p>
      <w:r>
        <w:t>The cover-cost differential is not fully liquidated: Verity Grain's procurement team sourced from three vendors over four months, and at least one substitute order included components outside the original scope of the Hollstead agreement. A motion for summary judgment on damages at this stage would invite exactly the kind of factual dispute that should be avoided. Liability, by contrast, turns on the interpretation of a single letter against an undisputed contractual standard — a question of law well suited to summary disposition.</w:t>
      </w:r>
    </w:p>
    <w:p>
      <w:pPr>
        <w:pStyle w:val="Heading3"/>
      </w:pPr>
      <w:r>
        <w:t>4. Anticipated Procedural Response</w:t>
      </w:r>
    </w:p>
    <w:p>
      <w:r>
        <w:t>Hollstead may resist a liability-only motion on the ground that liability and damages are too intertwined to sever, or may seek a Rule 56(d) continuance pending completion of fact discovery. Neither objection should succeed on this record. The liability question — whether the March letter meets the clear-and-unequivocal-refusal standard — turns entirely on the letter's text and the undisputed delivery schedule, neither of which requires further discovery to resolve. Any request for a continuance should be met with an offer to depose Hollstead's operations director on an expedited basis, since the only discovery genuinely relevant to liability is the intent behind that single letter, not the cover-cost record.</w:t>
      </w:r>
    </w:p>
    <w:p>
      <w:pPr>
        <w:pStyle w:val="Heading2"/>
      </w:pPr>
      <w:r>
        <w:t>Recommendation</w:t>
      </w:r>
    </w:p>
    <w:p>
      <w:pPr>
        <w:pStyle w:val="ListNumber"/>
      </w:pPr>
      <w:r>
        <w:t>File a motion for partial summary judgment on liability only, framing the question as whether the March letter meets the clear-and-unequivocal-refusal standard as a matter of law.</w:t>
      </w:r>
    </w:p>
    <w:p>
      <w:pPr>
        <w:pStyle w:val="ListNumber"/>
      </w:pPr>
      <w:r>
        <w:t>Reserve all damages issues for trial or a later summary judgment motion once the cover-cost record is settled.</w:t>
      </w:r>
    </w:p>
    <w:p>
      <w:pPr>
        <w:pStyle w:val="ListNumber"/>
      </w:pPr>
      <w:r>
        <w:t>Anticipate Hollstead's course-of-dealing argument in the opening brief rather than waiting for the opposition, since the argument affirmatively helps Verity Grain's position if framed correctly.</w:t>
      </w:r>
    </w:p>
    <w:p>
      <w:pPr>
        <w:pStyle w:val="ListNumber"/>
      </w:pPr>
      <w:r>
        <w:t>Depose Hollstead's operations director before filing if the schedule permits, to lock in testimony about the intent behind the March letter while memories are fresh and before Hollstead's litigation counsel has fully briefed the witness.</w:t>
      </w:r>
    </w:p>
    <w:p>
      <w:pPr>
        <w:pStyle w:val="ListNumber"/>
      </w:pPr>
      <w:r>
        <w:t>Preempt any severance or Rule 56(d) continuance argument in the opening brief by addressing directly why liability can be resolved without reaching the cover-cost record.</w:t>
      </w:r>
    </w:p>
    <w:p>
      <w:r>
        <w:t>Status: Analysis complete, including the procedural-response section addressing severance and continuance objections. The procedural-response framing from Section IV has been incorporated into the draft motion's argument structure. Outreach to schedule the expedited deposition of Hollstead's operations director is in progress; once confirmed, the deposition date should be reflected in the motion's supporting declaration. No further open items remain on this memo — it is ready to serve as the basis for finalizing the motion draft before the close of fact discovery.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