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Merits and Sequencing Assessment — Trademark Oppositions</w:t>
      </w:r>
    </w:p>
    <w:p>
      <w:r>
        <w:t>Prepared by Cecile Marchand, Partner, Litigation. This memorandum evaluates the two pending trademark oppositions filed against Yuki Tanabe's mark in separate jurisdictions, assesses relative strategic exposure in each, and recommends a sequencing approach in advance of the outstanding response deadline. It is intended to inform, not substitute for, the underlying prosecution counsel's tactical filings in each proceeding.</w:t>
      </w:r>
    </w:p>
    <w:p>
      <w:pPr>
        <w:pStyle w:val="Heading2"/>
      </w:pPr>
      <w:r>
        <w:t>1. Posture Summary</w:t>
      </w:r>
    </w:p>
    <w:p>
      <w:r>
        <w:t>Two oppositions are currently pending against the same underlying mark, filed by different opposers in different markets. Because the marks, goods/services descriptions, and opposer standing arguments are not identical across the two filings, the oppositions should be treated as related but analytically distinct matters; a single response strategy applied uniformly to both risks overlooking market-specific weaknesses in the opposer's case or in ours.</w:t>
      </w:r>
    </w:p>
    <w:p>
      <w:pPr>
        <w:pStyle w:val="ListNumber"/>
      </w:pPr>
      <w:r>
        <w:t>Market A opposition: opposer asserts likelihood of confusion with a senior registered mark and challenges distinctiveness of the applied-for mark as descriptive of the goods.</w:t>
      </w:r>
    </w:p>
    <w:p>
      <w:pPr>
        <w:pStyle w:val="ListNumber"/>
      </w:pPr>
      <w:r>
        <w:t>Market B opposition: opposer asserts a bad-faith filing theory and a dilution-adjacent claim under that jurisdiction's unfair-competition overlay, with a secondary likelihood-of-confusion argument pled in the alternative.</w:t>
      </w:r>
    </w:p>
    <w:p>
      <w:r>
        <w:t>The bad-faith theory in Market B is the more consequential of the two proceedings on the current record, both because bad-faith findings can carry collateral consequences beyond the mark at issue and because the evidentiary record on filing intent is not yet fully developed on our side.</w:t>
      </w:r>
    </w:p>
    <w:p>
      <w:pPr>
        <w:pStyle w:val="Heading2"/>
      </w:pPr>
      <w:r>
        <w:t>2. Merits Assessment — Market A</w:t>
      </w:r>
    </w:p>
    <w:p>
      <w:r>
        <w:t>The likelihood-of-confusion ground is the opposer's stronger theory but is answerable on the existing record: the goods descriptions overlap only partially, and the channels-of-trade and purchaser-sophistication factors both favor Yuki's position on the facts as currently understood. The descriptiveness challenge is weaker; it rests on a characterization of the mark that does not account for the acquired-distinctiveness evidence already in the file. I am not sure this survives contact if the opposer supplements with consumer-perception survey evidence, but no such evidence has been offered to date.</w:t>
      </w:r>
    </w:p>
    <w:p>
      <w:pPr>
        <w:pStyle w:val="ListBullet"/>
      </w:pPr>
      <w:r>
        <w:t>Confusion factors: favorable on trade-channel and sophistication grounds; unfavorable on goods-overlap, though overlap is partial rather than coextensive.</w:t>
      </w:r>
    </w:p>
    <w:p>
      <w:pPr>
        <w:pStyle w:val="ListBullet"/>
      </w:pPr>
      <w:r>
        <w:t>Descriptiveness challenge: answerable on the current record via acquired distinctiveness; vulnerable only if survey evidence is introduced.</w:t>
      </w:r>
    </w:p>
    <w:p>
      <w:pPr>
        <w:pStyle w:val="ListBullet"/>
      </w:pPr>
      <w:r>
        <w:t>Exposure if opposition succeeds: loss of registration in Market A only; no collateral effect on the Market B proceeding as pled.</w:t>
      </w:r>
    </w:p>
    <w:p>
      <w:pPr>
        <w:pStyle w:val="Heading2"/>
      </w:pPr>
      <w:r>
        <w:t>3. Merits Assessment — Market B</w:t>
      </w:r>
    </w:p>
    <w:p>
      <w:r>
        <w:t>The bad-faith filing theory is the primary strategic risk across both proceedings. It requires the opposer to establish knowledge and intent at the time of filing, which is a fact-intensive showing; but a bad-faith finding in Market B, if made, would be citable by the Market A opposer as persuasive (if not binding) authority on intent, and would materially strengthen an otherwise answerable descriptiveness argument there. The dilution-adjacent claim is secondary and, on the pleadings, appears to be asserted defensively rather than as the opposer's real basis for relief; it should not drive sequencing decisions. The alternative likelihood-of-confusion ground in Market B tracks the Market A analysis and is similarly answerable.</w:t>
      </w:r>
    </w:p>
    <w:p>
      <w:r>
        <w:t>The evidentiary gap that most affects this assessment is on our side: the filing-intent record supporting Yuki's good faith has not yet been fully assembled. Until that record is developed, the bad-faith theory should be treated as the more dangerous of the two proceedings, not because it is well-pled, but because we are not yet in a position to foreclose it decisively.</w:t>
      </w:r>
    </w:p>
    <w:p>
      <w:pPr>
        <w:pStyle w:val="Heading2"/>
      </w:pPr>
      <w:r>
        <w:t>4. Cross-Market Exposure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Market A</w:t>
            </w:r>
          </w:p>
        </w:tc>
        <w:tc>
          <w:tcPr>
            <w:tcW w:type="dxa" w:w="2880"/>
          </w:tcPr>
          <w:p>
            <w:r>
              <w:t>Market B</w:t>
            </w:r>
          </w:p>
        </w:tc>
      </w:tr>
      <w:tr>
        <w:tc>
          <w:tcPr>
            <w:tcW w:type="dxa" w:w="2880"/>
          </w:tcPr>
          <w:p>
            <w:r>
              <w:t>Primary opposer theory</w:t>
            </w:r>
          </w:p>
        </w:tc>
        <w:tc>
          <w:tcPr>
            <w:tcW w:type="dxa" w:w="2880"/>
          </w:tcPr>
          <w:p>
            <w:r>
              <w:t>Likelihood of confusion</w:t>
            </w:r>
          </w:p>
        </w:tc>
        <w:tc>
          <w:tcPr>
            <w:tcW w:type="dxa" w:w="2880"/>
          </w:tcPr>
          <w:p>
            <w:r>
              <w:t>Bad-faith filing</w:t>
            </w:r>
          </w:p>
        </w:tc>
      </w:tr>
      <w:tr>
        <w:tc>
          <w:tcPr>
            <w:tcW w:type="dxa" w:w="2880"/>
          </w:tcPr>
          <w:p>
            <w:r>
              <w:t>Secondary theory</w:t>
            </w:r>
          </w:p>
        </w:tc>
        <w:tc>
          <w:tcPr>
            <w:tcW w:type="dxa" w:w="2880"/>
          </w:tcPr>
          <w:p>
            <w:r>
              <w:t>Descriptiveness</w:t>
            </w:r>
          </w:p>
        </w:tc>
        <w:tc>
          <w:tcPr>
            <w:tcW w:type="dxa" w:w="2880"/>
          </w:tcPr>
          <w:p>
            <w:r>
              <w:t>Likelihood of confusion / dilution-adjacent</w:t>
            </w:r>
          </w:p>
        </w:tc>
      </w:tr>
      <w:tr>
        <w:tc>
          <w:tcPr>
            <w:tcW w:type="dxa" w:w="2880"/>
          </w:tcPr>
          <w:p>
            <w:r>
              <w:t>Strength of our current record</w:t>
            </w:r>
          </w:p>
        </w:tc>
        <w:tc>
          <w:tcPr>
            <w:tcW w:type="dxa" w:w="2880"/>
          </w:tcPr>
          <w:p>
            <w:r>
              <w:t>Adequate</w:t>
            </w:r>
          </w:p>
        </w:tc>
        <w:tc>
          <w:tcPr>
            <w:tcW w:type="dxa" w:w="2880"/>
          </w:tcPr>
          <w:p>
            <w:r>
              <w:t>Incomplete on filing-intent facts</w:t>
            </w:r>
          </w:p>
        </w:tc>
      </w:tr>
      <w:tr>
        <w:tc>
          <w:tcPr>
            <w:tcW w:type="dxa" w:w="2880"/>
          </w:tcPr>
          <w:p>
            <w:r>
              <w:t>Collateral risk to other market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High — adverse finding is citable in Market A</w:t>
            </w:r>
          </w:p>
        </w:tc>
      </w:tr>
      <w:tr>
        <w:tc>
          <w:tcPr>
            <w:tcW w:type="dxa" w:w="2880"/>
          </w:tcPr>
          <w:p>
            <w:r>
              <w:t>Recommended relative priority</w:t>
            </w:r>
          </w:p>
        </w:tc>
        <w:tc>
          <w:tcPr>
            <w:tcW w:type="dxa" w:w="2880"/>
          </w:tcPr>
          <w:p>
            <w:r>
              <w:t>Second</w:t>
            </w:r>
          </w:p>
        </w:tc>
        <w:tc>
          <w:tcPr>
            <w:tcW w:type="dxa" w:w="2880"/>
          </w:tcPr>
          <w:p>
            <w:r>
              <w:t>First</w:t>
            </w:r>
          </w:p>
        </w:tc>
      </w:tr>
    </w:tbl>
    <w:p>
      <w:pPr>
        <w:pStyle w:val="Heading2"/>
      </w:pPr>
      <w:r>
        <w:t>5. Sequencing Recommendation</w:t>
      </w:r>
    </w:p>
    <w:p>
      <w:r>
        <w:t>The outstanding request should be answered by addressing Market B first, notwithstanding that its response deadline is not necessarily the earlier of the two. The rationale is that Market B's bad-faith theory carries cross-market consequences that Market A's confusion/descriptiveness theories do not; a well-supported good-faith showing developed for Market B will also be useful, defensively, if the Market A opposer later raises intent. Sequencing Market A first would resolve the lower-consequence proceeding while leaving the higher-consequence one under-resourced during the same window.</w:t>
      </w:r>
    </w:p>
    <w:p>
      <w:pPr>
        <w:pStyle w:val="ListNumber"/>
      </w:pPr>
      <w:r>
        <w:t>Immediate: assemble the filing-intent record (correspondence, clearance search history, adoption rationale) to support the Market B good-faith response.</w:t>
      </w:r>
    </w:p>
    <w:p>
      <w:pPr>
        <w:pStyle w:val="ListNumber"/>
      </w:pPr>
      <w:r>
        <w:t>Concurrent: prepare the Market A response on the existing record; no additional factual development is required before that filing can proceed.</w:t>
      </w:r>
    </w:p>
    <w:p>
      <w:pPr>
        <w:pStyle w:val="ListNumber"/>
      </w:pPr>
      <w:r>
        <w:t>Before either response is finalized: confirm whether the two jurisdictions' tribunals permit or restrict cross-reference to filings in the other proceeding, as this affects how much of the Market B intent record should be disclosed in Market A.</w:t>
      </w:r>
    </w:p>
    <w:p>
      <w:r>
        <w:t>This sequencing recommendation is provisional pending assembly of the filing-intent record referenced above; if that record surfaces facts unfavorable to good faith, the relative priority and the substantive strategy in Market B — and potentially in Market A — will need to be revisited before either response is filed.</w:t>
      </w:r>
    </w:p>
    <w:p>
      <w:pPr>
        <w:pStyle w:val="Heading2"/>
      </w:pPr>
      <w:r>
        <w:t>6. Open Items</w:t>
      </w:r>
    </w:p>
    <w:p>
      <w:pPr>
        <w:pStyle w:val="ListBullet"/>
      </w:pPr>
      <w:r>
        <w:t>Filing-intent evidentiary record for Market B — not yet assembled.</w:t>
      </w:r>
    </w:p>
    <w:p>
      <w:pPr>
        <w:pStyle w:val="ListBullet"/>
      </w:pPr>
      <w:r>
        <w:t>Confirmation of cross-reference rules between the two tribunals.</w:t>
      </w:r>
    </w:p>
    <w:p>
      <w:pPr>
        <w:pStyle w:val="ListBullet"/>
      </w:pPr>
      <w:r>
        <w:t>Whether the Market A opposer has indicated any intent to supplement with survey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