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Firmwide Reminder: Read-Aloud Policy for To/CC Lines</w:t>
      </w:r>
    </w:p>
    <w:p>
      <w:r>
        <w:t>From: Ulrich Bergmann, Billing Manager</w:t>
      </w:r>
    </w:p>
    <w:p>
      <w:r>
        <w:t>To: All Timekeepers and Assistants</w:t>
      </w:r>
    </w:p>
    <w:p>
      <w:r>
        <w:t>Re: Fourth recurrence of non-compliance with the read-aloud To/CC line policy</w:t>
      </w:r>
    </w:p>
    <w:p>
      <w:pPr>
        <w:pStyle w:val="Heading2"/>
      </w:pPr>
      <w:r>
        <w:t>Purpose</w:t>
      </w:r>
    </w:p>
    <w:p>
      <w:r>
        <w:t>This is the fourth documented recurrence of billing correspondence being sent without the sender reading aloud, or otherwise verbally confirming, the full To and CC line before transmission. This memo restates the policy, records the recurrence count, and states the consequences that will apply if a fifth instance is logged.</w:t>
      </w:r>
    </w:p>
    <w:p>
      <w:pPr>
        <w:pStyle w:val="Heading2"/>
      </w:pPr>
      <w:r>
        <w:t>The Policy</w:t>
      </w:r>
    </w:p>
    <w:p>
      <w:r>
        <w:t>Before any billing-related email is sent — prebill distributions, exception lists, invoice copies, write-off notices, or client-facing statements — the sender must read the To and CC line aloud, or confirm it against the distribution list in writing, before clicking send. This applies regardless of whether the message is sent from a template, a reply chain, or a forwarded thread. Silence about the recipient list is not the same as having checked it.</w:t>
      </w:r>
    </w:p>
    <w:p>
      <w:pPr>
        <w:pStyle w:val="Heading2"/>
      </w:pPr>
      <w:r>
        <w:t>Recurrence Record</w:t>
      </w:r>
    </w:p>
    <w:tbl>
      <w:tblPr>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Approximate Timing</w:t>
            </w:r>
          </w:p>
        </w:tc>
        <w:tc>
          <w:tcPr>
            <w:tcW w:type="dxa" w:w="2880"/>
          </w:tcPr>
          <w:p>
            <w:r>
              <w:t>Nature of Lapse</w:t>
            </w:r>
          </w:p>
        </w:tc>
      </w:tr>
      <w:tr>
        <w:tc>
          <w:tcPr>
            <w:tcW w:type="dxa" w:w="2880"/>
          </w:tcPr>
          <w:p>
            <w:r>
              <w:t>1</w:t>
            </w:r>
          </w:p>
        </w:tc>
        <w:tc>
          <w:tcPr>
            <w:tcW w:type="dxa" w:w="2880"/>
          </w:tcPr>
          <w:p>
            <w:r>
              <w:t>Prior cycle</w:t>
            </w:r>
          </w:p>
        </w:tc>
        <w:tc>
          <w:tcPr>
            <w:tcW w:type="dxa" w:w="2880"/>
          </w:tcPr>
          <w:p>
            <w:r>
              <w:t>Prebill exception list sent with an incorrect internal CC</w:t>
            </w:r>
          </w:p>
        </w:tc>
      </w:tr>
      <w:tr>
        <w:tc>
          <w:tcPr>
            <w:tcW w:type="dxa" w:w="2880"/>
          </w:tcPr>
          <w:p>
            <w:r>
              <w:t>2</w:t>
            </w:r>
          </w:p>
        </w:tc>
        <w:tc>
          <w:tcPr>
            <w:tcW w:type="dxa" w:w="2880"/>
          </w:tcPr>
          <w:p>
            <w:r>
              <w:t>Prior cycle</w:t>
            </w:r>
          </w:p>
        </w:tc>
        <w:tc>
          <w:tcPr>
            <w:tcW w:type="dxa" w:w="2880"/>
          </w:tcPr>
          <w:p>
            <w:r>
              <w:t>Invoice copy sent to a contact no longer on the matter</w:t>
            </w:r>
          </w:p>
        </w:tc>
      </w:tr>
      <w:tr>
        <w:tc>
          <w:tcPr>
            <w:tcW w:type="dxa" w:w="2880"/>
          </w:tcPr>
          <w:p>
            <w:r>
              <w:t>3</w:t>
            </w:r>
          </w:p>
        </w:tc>
        <w:tc>
          <w:tcPr>
            <w:tcW w:type="dxa" w:w="2880"/>
          </w:tcPr>
          <w:p>
            <w:r>
              <w:t>This cycle, earlier</w:t>
            </w:r>
          </w:p>
        </w:tc>
        <w:tc>
          <w:tcPr>
            <w:tcW w:type="dxa" w:w="2880"/>
          </w:tcPr>
          <w:p>
            <w:r>
              <w:t>Distribution copy sent without CC confirmation to billing team lead</w:t>
            </w:r>
          </w:p>
        </w:tc>
      </w:tr>
      <w:tr>
        <w:tc>
          <w:tcPr>
            <w:tcW w:type="dxa" w:w="2880"/>
          </w:tcPr>
          <w:p>
            <w:r>
              <w:t>4</w:t>
            </w:r>
          </w:p>
        </w:tc>
        <w:tc>
          <w:tcPr>
            <w:tcW w:type="dxa" w:w="2880"/>
          </w:tcPr>
          <w:p>
            <w:r>
              <w:t>This cycle</w:t>
            </w:r>
          </w:p>
        </w:tc>
        <w:tc>
          <w:tcPr>
            <w:tcW w:type="dxa" w:w="2880"/>
          </w:tcPr>
          <w:p>
            <w:r>
              <w:t>Current instance prompting this memo</w:t>
            </w:r>
          </w:p>
        </w:tc>
      </w:tr>
    </w:tbl>
    <w:p>
      <w:pPr>
        <w:pStyle w:val="Heading2"/>
      </w:pPr>
      <w:r>
        <w:t>Consequences for Continued Non-Compliance</w:t>
      </w:r>
    </w:p>
    <w:p>
      <w:pPr>
        <w:pStyle w:val="ListNumber"/>
      </w:pPr>
      <w:r>
        <w:t>A fifth recorded instance, by any timekeeper or assistant, will be escalated in writing to the billing partner responsible for that matter, with the recurrence record attached.</w:t>
      </w:r>
    </w:p>
    <w:p>
      <w:pPr>
        <w:pStyle w:val="ListNumber"/>
      </w:pPr>
      <w:r>
        <w:t>The individual responsible for the fifth instance will be removed from standing distribution lists for prebill and exception communications and must request each distribution individually until compliance is demonstrated for two consecutive cycles.</w:t>
      </w:r>
    </w:p>
    <w:p>
      <w:pPr>
        <w:pStyle w:val="ListNumber"/>
      </w:pPr>
      <w:r>
        <w:t>Any misdirected billing communication involving client-identifying financial detail will be reported to the Office of General Counsel per firm policy, independent of this memo's internal tracking.</w:t>
      </w:r>
    </w:p>
    <w:p>
      <w:r>
        <w:t>This is not a new requirement. It has been stated three times before this memo. The policy does not change based on cycle volume, time pressure, or template reuse. Read the line before you send it.</w:t>
      </w:r>
    </w:p>
    <w:p>
      <w:r>
        <w:t>Questions on this policy go to me directly. Questions on individual matter distribution lists go to the billing partner for that matter, not to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