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Internal Remediation Memo</w:t>
      </w:r>
    </w:p>
    <w:p>
      <w:r>
        <w:t>To: IP &amp; Technology Group</w:t>
      </w:r>
    </w:p>
    <w:p>
      <w:r>
        <w:t>From: Oskar Ravndal, Associate</w:t>
      </w:r>
    </w:p>
    <w:p>
      <w:r>
        <w:t>Re: Recurring outbound-email recipient omissions; confirmation of read-aloud To/CC policy</w:t>
      </w:r>
    </w:p>
    <w:p>
      <w:r>
        <w:t>Status: For circulation to the group</w:t>
      </w:r>
    </w:p>
    <w:p>
      <w:pPr>
        <w:pStyle w:val="Heading2"/>
      </w:pPr>
      <w:r>
        <w:t>1. Purpose</w:t>
      </w:r>
    </w:p>
    <w:p>
      <w:r>
        <w:t>This memo addresses a recurring pattern of outbound emails being sent with incomplete or incorrect To/CC recipient lists, and confirms the group's policy that recipients be read aloud before sending. This is issued per the current plan block and reflects multiple corroborating confirmations received from colleagues today.</w:t>
      </w:r>
    </w:p>
    <w:p>
      <w:pPr>
        <w:pStyle w:val="Heading2"/>
      </w:pPr>
      <w:r>
        <w:t>2. What Was Observed</w:t>
      </w:r>
    </w:p>
    <w:p>
      <w:r>
        <w:t>Several outbound emails this week omitted intended recipients from the To or CC line, or included recipients who should not have received the communication. The pattern was not isolated to one sender or one matter, and was confirmed independently by multiple colleagues today, each describing the same category of error: recipient lists assembled from memory or from a prior thread without a final check against the intended distribution.</w:t>
      </w:r>
    </w:p>
    <w:p>
      <w:pPr>
        <w:pStyle w:val="Heading2"/>
      </w:pPr>
      <w:r>
        <w:t>3. Policy Confirmed: Read the Recipient List Aloud Before Sending</w:t>
      </w:r>
    </w:p>
    <w:p>
      <w:r>
        <w:t>The group's existing practice, now confirmed as policy going forward, is as follows:</w:t>
      </w:r>
    </w:p>
    <w:p>
      <w:pPr>
        <w:pStyle w:val="ListNumber"/>
      </w:pPr>
      <w:r>
        <w:t>Before sending any outbound email with more than one recipient, or any email leaving the firm, the sender reads the To and CC lines aloud (silently mouthing is not sufficient) and confirms each name against the intended distribution for that matter.</w:t>
      </w:r>
    </w:p>
    <w:p>
      <w:pPr>
        <w:pStyle w:val="ListNumber"/>
      </w:pPr>
      <w:r>
        <w:t>If the email is a reply or forward, the sender re-reads the full resulting recipient list, not just the newly added names, since reply chains silently carry forward stale recipients.</w:t>
      </w:r>
    </w:p>
    <w:p>
      <w:pPr>
        <w:pStyle w:val="ListNumber"/>
      </w:pPr>
      <w:r>
        <w:t>Any recipient added by autocomplete is confirmed by full name and firm/organization before send, not accepted on the strength of the first few characters matching.</w:t>
      </w:r>
    </w:p>
    <w:p>
      <w:pPr>
        <w:pStyle w:val="ListNumber"/>
      </w:pPr>
      <w:r>
        <w:t>Where a matter has a standing distribution list (client contact, partner, other associates on the matter), that list is checked against the actual To/CC fields, not assumed.</w:t>
      </w:r>
    </w:p>
    <w:p>
      <w:pPr>
        <w:pStyle w:val="Heading2"/>
      </w:pPr>
      <w:r>
        <w:t>4. Why This Is Being Circulated Now</w:t>
      </w:r>
    </w:p>
    <w:p>
      <w:r>
        <w:t>This memo is issued now because the pattern recurred across multiple matters in the same period and was confirmed by more than one colleague independently today, rather than being a single isolated lapse. The read-aloud step is not new; it is being restated and confirmed as the group's baseline practice so that it is applied consistently rather than treated as optional.</w:t>
      </w:r>
    </w:p>
    <w:p>
      <w:pPr>
        <w:pStyle w:val="Heading2"/>
      </w:pPr>
      <w:r>
        <w:t>5. Scope</w:t>
      </w:r>
    </w:p>
    <w:p>
      <w:r>
        <w:t>This policy applies to all outbound email from the group, including internal-only distributions, client-facing correspondence, and communications to opposing counsel or other outside parties. It applies regardless of whether the email is drafted from scratch, forwarded, or sent in reply.</w:t>
      </w:r>
    </w:p>
    <w:p>
      <w:pPr>
        <w:pStyle w:val="Heading2"/>
      </w:pPr>
      <w:r>
        <w:t>6. Action Items</w:t>
      </w:r>
    </w:p>
    <w:p>
      <w:pPr>
        <w:pStyle w:val="ListNumber"/>
      </w:pPr>
      <w:r>
        <w:t>All group members read the To/CC line aloud before every outbound send, per Section 3.</w:t>
      </w:r>
    </w:p>
    <w:p>
      <w:pPr>
        <w:pStyle w:val="ListNumber"/>
      </w:pPr>
      <w:r>
        <w:t>Any recipient omission or misdirection identified after the fact is reported promptly so the group can track whether the pattern recurs.</w:t>
      </w:r>
    </w:p>
    <w:p>
      <w:pPr>
        <w:pStyle w:val="ListNumber"/>
      </w:pPr>
      <w:r>
        <w:t>This memo is circulated to the full IP &amp; Technology group for acknowledgment.</w:t>
      </w:r>
    </w:p>
    <w:p>
      <w:pPr>
        <w:pStyle w:val="Heading2"/>
      </w:pPr>
      <w:r>
        <w:t>7. Related Matter Closed Out: Fairmont OEM Licence Misfiling</w:t>
      </w:r>
    </w:p>
    <w:p>
      <w:r>
        <w:t>As part of today's remediation work, the Fairmont OEM licence misfiling was resolved. Ownership and filing metadata for the licence were confirmed against the executed agreement and the matter's document management system record, and the metadata was corrected where it diverged from the executed instrument. The definitive answer on ownership, confirmed with Klara Bendtsen: the firm keeps its pre-assignment rights in the underlying OEM licence; the misfiling had incorrectly recorded those rights as assigned. That ownership position is now locked in and reflected in the corrected metadata. The misfiling originated from the same underlying category of error addressed above: distribution and record data carried forward from an earlier draft without a final check against the current, correct source. The corrected filing has been cross-checked against the matter's standing distribution list so that future correspondence on this licence is not sent, copied, or filed against the stale metadata.</w:t>
      </w:r>
    </w:p>
    <w:p>
      <w:r>
        <w:t>Update: the related SCC/BAA/DPA annex gap flagged on this matter is now confirmed closed. Petra has confirmed the SCC/BAA/DPA gap is closed, and Klara has separately confirmed the annex remediation on her end. No further action is required on the annex point; this matter is treated as fully closed out.</w:t>
      </w:r>
    </w:p>
    <w:p>
      <w:pPr>
        <w:pStyle w:val="Heading2"/>
      </w:pPr>
      <w:r>
        <w:t>8. Distribution</w:t>
      </w:r>
    </w:p>
    <w:p>
      <w:r>
        <w:t>For circulation to the IP &amp; Technology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