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Clause Bank Entry — IP Ownership (Background IP / Licensor Retention)</w:t>
      </w:r>
    </w:p>
    <w:p>
      <w:r>
        <w:t>Source: Linden Robotics / Fairmont — OEM Licence Agreement, Section 2.4 (finalized redline). Use case: OEM/licensing arrangements where licensor develops or embeds firmware and wants to retain all rights in firmware and background IP while licensee owns only its own branding and housing IP.</w:t>
      </w:r>
    </w:p>
    <w:p>
      <w:pPr>
        <w:pStyle w:val="Heading2"/>
      </w:pPr>
      <w:r>
        <w:t>Clause Text (as finalized)</w:t>
      </w:r>
    </w:p>
    <w:p>
      <w:r>
        <w:t>2.4 Ownership of Intellectual Property. As between Linden and Fairmont, Linden retains all right, title, and interest in and to the Firmware and all Background IP, including all Improvements thereto, whether developed before or during the Term. Fairmont owns all right, title, and interest in and to its own branding, trademarks, and housing designs used in connection with the Licensed Product, excluding any Firmware or Background IP embedded therein. Nothing in this Agreement shall be construed as an assignment or transfer of Linden's ownership of the Firmware or Background IP.</w:t>
      </w:r>
    </w:p>
    <w:p>
      <w:pPr>
        <w:pStyle w:val="Heading2"/>
      </w:pPr>
      <w:r>
        <w:t>Companion Clauses Used With This Language</w:t>
      </w:r>
    </w:p>
    <w:p>
      <w:pPr>
        <w:pStyle w:val="ListNumber"/>
      </w:pPr>
      <w:r>
        <w:t>Section 2.3 (sublicensing to contract manufacturers): consent to sublicense is conditioned on each named contract manufacturer executing a confidentiality/access undertaking before receiving Firmware or Background IP access.</w:t>
      </w:r>
    </w:p>
    <w:p>
      <w:pPr>
        <w:pStyle w:val="ListNumber"/>
      </w:pPr>
      <w:r>
        <w:t>Section 2.1 (field of use): narrow the grant to exclude aftermarket sales and any third-party integration outside the licensee's own branded product line — pairs naturally with 2.4 to prevent leakage of retained IP through downstream channels.</w:t>
      </w:r>
    </w:p>
    <w:p>
      <w:pPr>
        <w:pStyle w:val="ListNumber"/>
      </w:pPr>
      <w:r>
        <w:t>Section 6 (data processing, added same matter): where firmware involves data flows, tie subprocessor flow-down obligations to the same contract-manufacturer consent regime used in 2.3, and address scope of data processed, purpose limitation, data location/transfer restrictions, and breach notification separately from the IP ownership carve-out.</w:t>
      </w:r>
    </w:p>
    <w:p>
      <w:pPr>
        <w:pStyle w:val="Heading2"/>
      </w:pPr>
      <w:r>
        <w:t>Drafting Notes</w:t>
      </w:r>
    </w:p>
    <w:p>
      <w:pPr>
        <w:pStyle w:val="ListBullet"/>
      </w:pPr>
      <w:r>
        <w:t>Define 'Background IP' and 'Improvements' precisely elsewhere in the agreement — this clause depends on those definitions carrying the weight.</w:t>
      </w:r>
    </w:p>
    <w:p>
      <w:pPr>
        <w:pStyle w:val="ListBullet"/>
      </w:pPr>
      <w:r>
        <w:t>Flag for partner sign-off whenever a counterparty pushes for any co-ownership or joint-improvement language on Background IP — careful here, this is where licensors lose the most ground in practice.</w:t>
      </w:r>
    </w:p>
    <w:p>
      <w:pPr>
        <w:pStyle w:val="ListBullet"/>
      </w:pPr>
      <w:r>
        <w:t>Data-residency preferences in the Section 6 companion clause should be confirmed with partner before finalizing; treat as an open item until closed.</w:t>
      </w:r>
    </w:p>
    <w:p>
      <w:pPr>
        <w:pStyle w:val="Heading1"/>
      </w:pPr>
      <w:r>
        <w:t>Clause Bank Entry — MFN Fallback (Exclusivity Alternative) and Indemnification Cap Ladder</w:t>
      </w:r>
    </w:p>
    <w:p>
      <w:r>
        <w:t>Source: Linden Robotics / Fairmont — OEM Licence Agreement, Sections 2.2 (MFN language drafted to resolve exclusivity impasse) and 8.2 (indemnification cap fallback ladder, framed as the firm's general OEM licensing approach for partner sign-off). Generalized here for reuse in future OEM licensing matters where a counterparty resists exclusivity or pushes back on indemnity caps.</w:t>
      </w:r>
    </w:p>
    <w:p>
      <w:pPr>
        <w:pStyle w:val="Heading2"/>
      </w:pPr>
      <w:r>
        <w:t>MFN Fallback — Use Case and Approach</w:t>
      </w:r>
    </w:p>
    <w:p>
      <w:pPr>
        <w:pStyle w:val="ListBullet"/>
      </w:pPr>
      <w:r>
        <w:t>Where a client wants exclusivity but the counterparty won't grant it, offer a most-favored-nations (MFN) commitment as the fallback: licensor commits that no future licensee will receive materially more favorable pricing or field-of-use terms without the same being offered to the current licensee.</w:t>
      </w:r>
    </w:p>
    <w:p>
      <w:pPr>
        <w:pStyle w:val="ListBullet"/>
      </w:pPr>
      <w:r>
        <w:t>Draft the MFN clause narrowly — tie it to specific commercial terms (pricing, field of use) rather than all deal terms, to avoid unintended flow-through of unrelated concessions.</w:t>
      </w:r>
    </w:p>
    <w:p>
      <w:pPr>
        <w:pStyle w:val="ListBullet"/>
      </w:pPr>
      <w:r>
        <w:t>Cross-reference against the Background IP retention clause (2.4-style) to confirm the MFN commitment doesn't inadvertently expand rights to Background IP or Improvements.</w:t>
      </w:r>
    </w:p>
    <w:p>
      <w:pPr>
        <w:pStyle w:val="ListBullet"/>
      </w:pPr>
      <w:r>
        <w:t>Generalized takeaway: when exclusivity is the sticking point, propose MFN language affirmatively rather than leaving the tension as an open comment — gives the other side something concrete to react to and moves the negotiation forward.</w:t>
      </w:r>
    </w:p>
    <w:p>
      <w:pPr>
        <w:pStyle w:val="Heading2"/>
      </w:pPr>
      <w:r>
        <w:t>Indemnification Cap Fallback Ladder</w:t>
      </w:r>
    </w:p>
    <w:p>
      <w:r>
        <w:t>Framed generally as the technology group's standard OEM licensing approach (not attributed to any personal source) when presenting for partner sign-off.</w:t>
      </w:r>
    </w:p>
    <w:p>
      <w:pPr>
        <w:pStyle w:val="ListNumber"/>
      </w:pPr>
      <w:r>
        <w:t>First fallback: cap at one times fees paid in the prior twelve months.</w:t>
      </w:r>
    </w:p>
    <w:p>
      <w:pPr>
        <w:pStyle w:val="ListNumber"/>
      </w:pPr>
      <w:r>
        <w:t>Second fallback: cap at two times fees, with a carve-out for specified high-risk claims.</w:t>
      </w:r>
    </w:p>
    <w:p>
      <w:pPr>
        <w:pStyle w:val="ListNumber"/>
      </w:pPr>
      <w:r>
        <w:t>Final fallback: uncapped liability, but limited solely to IP infringement claims.</w:t>
      </w:r>
    </w:p>
    <w:p>
      <w:pPr>
        <w:pStyle w:val="Heading2"/>
      </w:pPr>
      <w:r>
        <w:t>Drafting Notes</w:t>
      </w:r>
    </w:p>
    <w:p>
      <w:pPr>
        <w:pStyle w:val="ListBullet"/>
      </w:pPr>
      <w:r>
        <w:t>Sequence matters: present the ladder as escalating concessions, not a menu — hold each fallback in reserve until the prior position is genuinely untenable.</w:t>
      </w:r>
    </w:p>
    <w:p>
      <w:pPr>
        <w:pStyle w:val="ListBullet"/>
      </w:pPr>
      <w:r>
        <w:t>When drafting for partner sign-off, present the ladder as a general firm/group position rather than personal practice.</w:t>
      </w:r>
    </w:p>
    <w:p>
      <w:pPr>
        <w:pStyle w:val="ListBullet"/>
      </w:pPr>
      <w:r>
        <w:t>Careful here — do not volunteer the ladder unprompted, and never put it in writing to outside counsel or the client; share only when asked directly.</w:t>
      </w:r>
    </w:p>
    <w:p>
      <w:pPr>
        <w:pStyle w:val="ListBullet"/>
      </w:pPr>
      <w:r>
        <w:t>Pairs well with the MFN fallback above when a deal has both an exclusivity fight and an indemnity cap fight running concurrently — resolving one can create leverage on the other.</w:t>
      </w:r>
    </w:p>
    <w:p>
      <w:pPr>
        <w:pStyle w:val="Heading1"/>
      </w:pPr>
      <w:r>
        <w:t>Clause Bank Entry — Supplier Renewal Terms</w:t>
      </w:r>
    </w:p>
    <w:p>
      <w:r>
        <w:t>Status: review framework only — source agreements, new/renewal terms, and prior carve-out notes requested from Yuki, not yet received. Entry captures the review approach and firm fallback ladder for later use once actual clause text is finalized.</w:t>
      </w:r>
    </w:p>
    <w:p>
      <w:pPr>
        <w:pStyle w:val="Heading2"/>
      </w:pPr>
      <w:r>
        <w:t>Review Framework</w:t>
      </w:r>
    </w:p>
    <w:p>
      <w:pPr>
        <w:pStyle w:val="ListNumber"/>
      </w:pPr>
      <w:r>
        <w:t>Pricing mechanics — check renewal escalators, benchmarking rights, and whether increases are capped or tied to an index.</w:t>
      </w:r>
    </w:p>
    <w:p>
      <w:pPr>
        <w:pStyle w:val="ListNumber"/>
      </w:pPr>
      <w:r>
        <w:t>Liability caps — compare against the group's standard fallback ladder (see below).</w:t>
      </w:r>
    </w:p>
    <w:p>
      <w:pPr>
        <w:pStyle w:val="ListNumber"/>
      </w:pPr>
      <w:r>
        <w:t>Indemnification scope — check carve-outs for IP infringement, confidentiality breach, and data-related claims; escalate to Cecile only if a genuine litigation-exposure indemnity issue surfaces.</w:t>
      </w:r>
    </w:p>
    <w:p>
      <w:pPr>
        <w:pStyle w:val="Heading2"/>
      </w:pPr>
      <w:r>
        <w:t>Firm Fallback Ladder on Indemnity Caps (unwritten — do not put in writing to outsiders)</w:t>
      </w:r>
    </w:p>
    <w:p>
      <w:pPr>
        <w:pStyle w:val="ListNumber"/>
      </w:pPr>
      <w:r>
        <w:t>First fallback: cap at one times fees paid in the prior twelve months.</w:t>
      </w:r>
    </w:p>
    <w:p>
      <w:pPr>
        <w:pStyle w:val="ListNumber"/>
      </w:pPr>
      <w:r>
        <w:t>Second fallback: cap at two times fees, with a carve-out for specified high-risk claims.</w:t>
      </w:r>
    </w:p>
    <w:p>
      <w:pPr>
        <w:pStyle w:val="ListNumber"/>
      </w:pPr>
      <w:r>
        <w:t>Final fallback: uncapped liability, but limited solely to IP infringement claims.</w:t>
      </w:r>
    </w:p>
    <w:p>
      <w:r>
        <w:t>Reminder to self: this ladder lives in my head and in three old redlines — share only when asked directly, never volunteer, never in writing to outside counsel or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