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360"/>
      </w:tblGrid>
      <w:tr>
        <w:tc>
          <w:tcPr>
            <w:tcW w:type="dxa" w:w="9360"/>
            <w:shd w:fill="1A365D"/>
          </w:tcPr>
          <w:p>
            <w:pPr>
              <w:spacing w:before="0" w:after="0"/>
            </w:pPr>
            <w:r>
              <w:t xml:space="preserve"> </w:t>
            </w:r>
          </w:p>
        </w:tc>
      </w:tr>
    </w:tbl>
    <w:p/>
    <w:p>
      <w:pPr>
        <w:spacing w:after="240"/>
        <w:jc w:val="center"/>
      </w:pPr>
      <w:r>
        <w:rPr>
          <w:b/>
          <w:color w:val="2B6CB0"/>
          <w:sz w:val="24"/>
        </w:rPr>
        <w:t>L&amp;D INTERNSHIP COHORT - 15-DAY PROGRAM</w:t>
      </w:r>
    </w:p>
    <w:p>
      <w:pPr>
        <w:spacing w:after="120"/>
        <w:jc w:val="center"/>
      </w:pPr>
      <w:r>
        <w:rPr>
          <w:b/>
          <w:color w:val="1A365D"/>
          <w:sz w:val="52"/>
        </w:rPr>
        <w:t>AI-Powered Full-Stack Product Scaffolding</w:t>
      </w:r>
    </w:p>
    <w:p>
      <w:pPr>
        <w:spacing w:after="480"/>
        <w:jc w:val="center"/>
      </w:pPr>
      <w:r>
        <w:rPr>
          <w:i/>
          <w:color w:val="2D3748"/>
          <w:sz w:val="28"/>
        </w:rPr>
        <w:t>A 15-Day Vibe-Coding Curriculum for Teams from AI, CSE, IoT, and Cybersecurity</w:t>
      </w:r>
    </w:p>
    <w:p/>
    <w:p/>
    <w:p/>
    <w:p/>
    <w:tbl>
      <w:tblPr>
        <w:tblW w:type="auto" w:w="0"/>
        <w:jc w:val="center"/>
        <w:tblLook w:firstColumn="1" w:firstRow="1" w:lastColumn="0" w:lastRow="0" w:noHBand="0" w:noVBand="1" w:val="04A0"/>
      </w:tblPr>
      <w:tblGrid>
        <w:gridCol w:w="4680"/>
        <w:gridCol w:w="4680"/>
      </w:tblGrid>
      <w:tr>
        <w:tc>
          <w:tcPr>
            <w:tcW w:type="dxa" w:w="2880"/>
            <w:shd w:fill="F8FAFC"/>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b/>
                <w:color w:val="2D3748"/>
                <w:sz w:val="19"/>
              </w:rPr>
              <w:t>Prepared For:</w:t>
            </w:r>
          </w:p>
        </w:tc>
        <w:tc>
          <w:tcPr>
            <w:tcW w:type="dxa" w:w="6480"/>
            <w:shd w:fill="FFFFFF"/>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color w:val="4A5568"/>
                <w:sz w:val="19"/>
              </w:rPr>
              <w:t>Diverse Cohort (57 Interns, 14 Teams of 4)</w:t>
            </w:r>
          </w:p>
        </w:tc>
      </w:tr>
      <w:tr>
        <w:tc>
          <w:tcPr>
            <w:tcW w:type="dxa" w:w="2880"/>
            <w:shd w:fill="F8FAFC"/>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b/>
                <w:color w:val="2D3748"/>
                <w:sz w:val="19"/>
              </w:rPr>
              <w:t>Program Duration:</w:t>
            </w:r>
          </w:p>
        </w:tc>
        <w:tc>
          <w:tcPr>
            <w:tcW w:type="dxa" w:w="6480"/>
            <w:shd w:fill="FFFFFF"/>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color w:val="4A5568"/>
                <w:sz w:val="19"/>
              </w:rPr>
              <w:t>15 Days (Daily 1.5 Hour Sessions)</w:t>
            </w:r>
          </w:p>
        </w:tc>
      </w:tr>
      <w:tr>
        <w:tc>
          <w:tcPr>
            <w:tcW w:type="dxa" w:w="2880"/>
            <w:shd w:fill="F8FAFC"/>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b/>
                <w:color w:val="2D3748"/>
                <w:sz w:val="19"/>
              </w:rPr>
              <w:t>Instruction Mode:</w:t>
            </w:r>
          </w:p>
        </w:tc>
        <w:tc>
          <w:tcPr>
            <w:tcW w:type="dxa" w:w="6480"/>
            <w:shd w:fill="FFFFFF"/>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color w:val="4A5568"/>
                <w:sz w:val="19"/>
              </w:rPr>
              <w:t>100% Concept Demos (1.5h) + Async Team Hacking</w:t>
            </w:r>
          </w:p>
        </w:tc>
      </w:tr>
      <w:tr>
        <w:tc>
          <w:tcPr>
            <w:tcW w:type="dxa" w:w="2880"/>
            <w:shd w:fill="F8FAFC"/>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b/>
                <w:color w:val="2D3748"/>
                <w:sz w:val="19"/>
              </w:rPr>
              <w:t>Final Milestone:</w:t>
            </w:r>
          </w:p>
        </w:tc>
        <w:tc>
          <w:tcPr>
            <w:tcW w:type="dxa" w:w="6480"/>
            <w:shd w:fill="FFFFFF"/>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color w:val="4A5568"/>
                <w:sz w:val="19"/>
              </w:rPr>
              <w:t>Working Full-Stack AI Product POC (UI+Backend+DB+Agents)</w:t>
            </w:r>
          </w:p>
        </w:tc>
      </w:tr>
      <w:tr>
        <w:tc>
          <w:tcPr>
            <w:tcW w:type="dxa" w:w="2880"/>
            <w:shd w:fill="F8FAFC"/>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b/>
                <w:color w:val="2D3748"/>
                <w:sz w:val="19"/>
              </w:rPr>
              <w:t>Document Version:</w:t>
            </w:r>
          </w:p>
        </w:tc>
        <w:tc>
          <w:tcPr>
            <w:tcW w:type="dxa" w:w="6480"/>
            <w:shd w:fill="FFFFFF"/>
            <w:tcBorders>
              <w:top w:val="single" w:sz="2" w:color="E2E8F0"/>
              <w:left w:val="single" w:sz="2" w:color="E2E8F0"/>
              <w:bottom w:val="single" w:sz="2" w:color="E2E8F0"/>
              <w:right w:val="single" w:sz="2" w:color="E2E8F0"/>
            </w:tcBorders>
            <w:tcMar>
              <w:top w:w="80" w:type="dxa"/>
              <w:bottom w:w="80" w:type="dxa"/>
              <w:left w:w="100" w:type="dxa"/>
              <w:right w:w="100" w:type="dxa"/>
            </w:tcMar>
          </w:tcPr>
          <w:p>
            <w:r>
              <w:rPr>
                <w:color w:val="4A5568"/>
                <w:sz w:val="19"/>
              </w:rPr>
              <w:t>v1.0.0 (June 2026)</w:t>
            </w:r>
          </w:p>
        </w:tc>
      </w:tr>
    </w:tbl>
    <w:p>
      <w:r>
        <w:br w:type="page"/>
      </w:r>
    </w:p>
    <w:tbl>
      <w:tblPr>
        <w:tblW w:type="auto" w:w="0"/>
        <w:tblLayout w:type="fixed"/>
        <w:tblLook w:firstColumn="1" w:firstRow="1" w:lastColumn="0" w:lastRow="0" w:noHBand="0" w:noVBand="1" w:val="04A0"/>
      </w:tblPr>
      <w:tblGrid>
        <w:gridCol w:w="4680"/>
        <w:gridCol w:w="4680"/>
      </w:tblGrid>
      <w:tr>
        <w:tc>
          <w:tcPr>
            <w:tcW w:type="dxa" w:w="173"/>
            <w:shd w:fill="1A365D"/>
          </w:tcPr>
          <w:p>
            <w:pPr>
              <w:spacing w:before="0" w:after="0"/>
            </w:pPr>
            <w:r>
              <w:t xml:space="preserve"> </w:t>
            </w:r>
          </w:p>
        </w:tc>
        <w:tc>
          <w:tcPr>
            <w:tcW w:type="dxa" w:w="9187"/>
          </w:tcPr>
          <w:p>
            <w:pPr>
              <w:spacing w:before="80" w:after="80"/>
            </w:pPr>
            <w:r>
              <w:rPr>
                <w:b/>
                <w:color w:val="1A365D"/>
                <w:sz w:val="28"/>
              </w:rPr>
              <w:t>Program Intro: The 'Vibe-Coding' Paradigm</w:t>
            </w:r>
          </w:p>
        </w:tc>
      </w:tr>
    </w:tbl>
    <w:p/>
    <w:p>
      <w:r>
        <w:rPr>
          <w:sz w:val="21"/>
        </w:rPr>
        <w:t xml:space="preserve">Software engineering is undergoing an unprecedented structural transition. The traditional model of manually writing boilerplate logic, configuration files, and basic HTML markup is rapidly giving way to 'Vibe-Coding'—a collaborative workflow where engineers coordinate, direct, and audit autonomous AI agents to construct production-ready code. This 15-Day program is designed specifically for a diverse cohort of 57 students spanning AI, Computer Science (CSE), IoT, and Cybersecurity backgrounds. </w:t>
      </w:r>
    </w:p>
    <w:p>
      <w:r>
        <w:rPr>
          <w:sz w:val="21"/>
        </w:rPr>
        <w:t>Organized into 14 collaborative teams of four, students are assigned a multi-dimensional product problem statement on Day 1 that merges UI, backend APIs, data storage, and AI agents. The 1.5-hour daily sessions deliver core first-principles concepts and live agentic programming demonstrations. Teams hack asynchronously outside class hours, applying the lecture knowledge step-by-step to compile their product. This ensures they master system basics (OS, Linux, SQL, MongoDB) while using cutting-edge AI architectures (RAG, OpenClaw, Hermes, vector databases, n8n, secure gateways) to produce a working POC.</w:t>
      </w:r>
    </w:p>
    <w:p/>
    <w:tbl>
      <w:tblPr>
        <w:tblW w:type="auto" w:w="0"/>
        <w:tblLayout w:type="fixed"/>
        <w:tblLook w:firstColumn="1" w:firstRow="1" w:lastColumn="0" w:lastRow="0" w:noHBand="0" w:noVBand="1" w:val="04A0"/>
      </w:tblPr>
      <w:tblGrid>
        <w:gridCol w:w="4680"/>
        <w:gridCol w:w="4680"/>
      </w:tblGrid>
      <w:tr>
        <w:tc>
          <w:tcPr>
            <w:tcW w:type="dxa" w:w="173"/>
            <w:shd w:fill="1A365D"/>
          </w:tcPr>
          <w:p>
            <w:pPr>
              <w:spacing w:before="0" w:after="0"/>
            </w:pPr>
            <w:r>
              <w:t xml:space="preserve"> </w:t>
            </w:r>
          </w:p>
        </w:tc>
        <w:tc>
          <w:tcPr>
            <w:tcW w:type="dxa" w:w="9187"/>
          </w:tcPr>
          <w:p>
            <w:pPr>
              <w:spacing w:before="80" w:after="80"/>
            </w:pPr>
            <w:r>
              <w:rPr>
                <w:b/>
                <w:color w:val="1A365D"/>
                <w:sz w:val="28"/>
              </w:rPr>
              <w:t>15-Day Daywise Schedule</w:t>
            </w:r>
          </w:p>
        </w:tc>
      </w:tr>
    </w:tbl>
    <w:p/>
    <w:tbl>
      <w:tblPr>
        <w:tblW w:type="auto" w:w="0"/>
        <w:jc w:val="center"/>
        <w:tblLayout w:type="fixed"/>
        <w:tblLook w:firstColumn="1" w:firstRow="1" w:lastColumn="0" w:lastRow="0" w:noHBand="0" w:noVBand="1" w:val="04A0"/>
      </w:tblPr>
      <w:tblGrid>
        <w:gridCol w:w="3120"/>
        <w:gridCol w:w="3120"/>
        <w:gridCol w:w="3120"/>
      </w:tblGrid>
      <w:tr>
        <w:tc>
          <w:tcPr>
            <w:tcW w:type="dxa" w:w="1152"/>
            <w:shd w:fill="1A365D"/>
            <w:tcBorders>
              <w:top w:val="single" w:sz="4" w:color="1A365D"/>
              <w:left w:val="single" w:sz="4" w:color="1A365D"/>
              <w:bottom w:val="single" w:sz="4" w:color="1A365D"/>
              <w:right w:val="single" w:sz="4" w:color="1A365D"/>
            </w:tcBorders>
            <w:tcMar>
              <w:top w:w="160" w:type="dxa"/>
              <w:bottom w:w="160" w:type="dxa"/>
              <w:left w:w="180" w:type="dxa"/>
              <w:right w:w="180" w:type="dxa"/>
            </w:tcMar>
          </w:tcPr>
          <w:p>
            <w:pPr>
              <w:spacing w:after="0" w:before="0"/>
            </w:pPr>
            <w:r>
              <w:rPr>
                <w:b/>
                <w:color w:val="FFFFFF"/>
                <w:sz w:val="21"/>
              </w:rPr>
              <w:t>Day</w:t>
            </w:r>
          </w:p>
        </w:tc>
        <w:tc>
          <w:tcPr>
            <w:tcW w:type="dxa" w:w="3168"/>
            <w:shd w:fill="1A365D"/>
            <w:tcBorders>
              <w:top w:val="single" w:sz="4" w:color="1A365D"/>
              <w:left w:val="single" w:sz="4" w:color="1A365D"/>
              <w:bottom w:val="single" w:sz="4" w:color="1A365D"/>
              <w:right w:val="single" w:sz="4" w:color="1A365D"/>
            </w:tcBorders>
            <w:tcMar>
              <w:top w:w="160" w:type="dxa"/>
              <w:bottom w:w="160" w:type="dxa"/>
              <w:left w:w="180" w:type="dxa"/>
              <w:right w:w="180" w:type="dxa"/>
            </w:tcMar>
          </w:tcPr>
          <w:p>
            <w:pPr>
              <w:spacing w:after="0" w:before="0"/>
            </w:pPr>
            <w:r>
              <w:rPr>
                <w:b/>
                <w:color w:val="FFFFFF"/>
                <w:sz w:val="21"/>
              </w:rPr>
              <w:t>Curated Topic &amp; Sub-topics</w:t>
            </w:r>
          </w:p>
        </w:tc>
        <w:tc>
          <w:tcPr>
            <w:tcW w:type="dxa" w:w="5040"/>
            <w:shd w:fill="1A365D"/>
            <w:tcBorders>
              <w:top w:val="single" w:sz="4" w:color="1A365D"/>
              <w:left w:val="single" w:sz="4" w:color="1A365D"/>
              <w:bottom w:val="single" w:sz="4" w:color="1A365D"/>
              <w:right w:val="single" w:sz="4" w:color="1A365D"/>
            </w:tcBorders>
            <w:tcMar>
              <w:top w:w="160" w:type="dxa"/>
              <w:bottom w:w="160" w:type="dxa"/>
              <w:left w:w="180" w:type="dxa"/>
              <w:right w:w="180" w:type="dxa"/>
            </w:tcMar>
          </w:tcPr>
          <w:p>
            <w:pPr>
              <w:spacing w:after="0" w:before="0"/>
            </w:pPr>
            <w:r>
              <w:rPr>
                <w:b/>
                <w:color w:val="FFFFFF"/>
                <w:sz w:val="21"/>
              </w:rPr>
              <w:t>First Principles &amp; Value Add</w:t>
            </w:r>
          </w:p>
        </w:tc>
      </w:tr>
      <w:tr>
        <w:tc>
          <w:tcPr>
            <w:tcW w:type="dxa" w:w="9360"/>
            <w:gridSpan w:val="3"/>
            <w:shd w:fill="2B6CB0"/>
            <w:tcBorders>
              <w:top w:val="single" w:sz="4" w:color="2B6CB0"/>
              <w:left w:val="single" w:sz="4" w:color="2B6CB0"/>
              <w:bottom w:val="single" w:sz="4" w:color="2B6CB0"/>
              <w:right w:val="single" w:sz="4" w:color="2B6CB0"/>
            </w:tcBorders>
            <w:tcMar>
              <w:top w:w="140" w:type="dxa"/>
              <w:bottom w:w="140" w:type="dxa"/>
              <w:left w:w="180" w:type="dxa"/>
              <w:right w:w="180" w:type="dxa"/>
            </w:tcMar>
          </w:tcPr>
          <w:p>
            <w:pPr>
              <w:spacing w:before="80" w:after="80"/>
              <w:jc w:val="center"/>
            </w:pPr>
            <w:r>
              <w:rPr>
                <w:b/>
                <w:color w:val="FFFFFF"/>
                <w:sz w:val="20"/>
              </w:rPr>
              <w:t>PART I: CORE WORKSPACE &amp; SYSTEMS (DAYS 1-3)</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Antigravity Intro &amp; Workspace Setup</w:t>
            </w:r>
          </w:p>
          <w:p>
            <w:pPr>
              <w:spacing w:after="40"/>
              <w:ind w:left="144"/>
            </w:pPr>
            <w:r>
              <w:rPr>
                <w:color w:val="4A5568"/>
                <w:sz w:val="17"/>
              </w:rPr>
              <w:t>▪  Introduction to AI-Assisted Pair Programming</w:t>
            </w:r>
          </w:p>
          <w:p>
            <w:pPr>
              <w:spacing w:after="40"/>
              <w:ind w:left="144"/>
            </w:pPr>
            <w:r>
              <w:rPr>
                <w:color w:val="4A5568"/>
                <w:sz w:val="17"/>
              </w:rPr>
              <w:t>▪  Workspace environment variables &amp; directory structures</w:t>
            </w:r>
          </w:p>
          <w:p>
            <w:pPr>
              <w:spacing w:after="40"/>
              <w:ind w:left="144"/>
            </w:pPr>
            <w:r>
              <w:rPr>
                <w:color w:val="4A5568"/>
                <w:sz w:val="17"/>
              </w:rPr>
              <w:t>▪  Triggering background tasks &amp; logs</w:t>
            </w:r>
          </w:p>
          <w:p>
            <w:pPr>
              <w:spacing w:after="40"/>
              <w:ind w:left="144"/>
            </w:pPr>
            <w:r>
              <w:rPr>
                <w:color w:val="4A5568"/>
                <w:sz w:val="17"/>
              </w:rPr>
              <w:t>▪  Antigravity slash commands (/goal, /grill-me)</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Establishes immediate developer velocity. Interns learn how to leverage agent workspaces to execute tasks, configure project settings, and automate coding iterations.</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2</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OS &amp; Linux: Compute Arch on LaaS</w:t>
            </w:r>
          </w:p>
          <w:p>
            <w:pPr>
              <w:spacing w:after="40"/>
              <w:ind w:left="144"/>
            </w:pPr>
            <w:r>
              <w:rPr>
                <w:color w:val="4A5568"/>
                <w:sz w:val="17"/>
              </w:rPr>
              <w:t>▪  Process execution, monitoring &amp; thread states</w:t>
            </w:r>
          </w:p>
          <w:p>
            <w:pPr>
              <w:spacing w:after="40"/>
              <w:ind w:left="144"/>
            </w:pPr>
            <w:r>
              <w:rPr>
                <w:color w:val="4A5568"/>
                <w:sz w:val="17"/>
              </w:rPr>
              <w:t>▪  Resource allocation (CPU/RAM limits &amp; GPU context)</w:t>
            </w:r>
          </w:p>
          <w:p>
            <w:pPr>
              <w:spacing w:after="40"/>
              <w:ind w:left="144"/>
            </w:pPr>
            <w:r>
              <w:rPr>
                <w:color w:val="4A5568"/>
                <w:sz w:val="17"/>
              </w:rPr>
              <w:t>▪  LaaS remote compute desktop environment</w:t>
            </w:r>
          </w:p>
          <w:p>
            <w:pPr>
              <w:spacing w:after="40"/>
              <w:ind w:left="144"/>
            </w:pPr>
            <w:r>
              <w:rPr>
                <w:color w:val="4A5568"/>
                <w:sz w:val="17"/>
              </w:rPr>
              <w:t>▪  Linux Filesystem Hierarchy Standard (FHS)</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Removes GUI dependencies. Students learn how programs utilize CPU/GPU hardware on local supercomputing nodes, prepping them for deep backend debugging.</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3</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Shell CLI, Pipes &amp; Automation Scripting</w:t>
            </w:r>
          </w:p>
          <w:p>
            <w:pPr>
              <w:spacing w:after="40"/>
              <w:ind w:left="144"/>
            </w:pPr>
            <w:r>
              <w:rPr>
                <w:color w:val="4A5568"/>
                <w:sz w:val="17"/>
              </w:rPr>
              <w:t>▪  Terminal navigation &amp; standard streams (stdin, stdout, stderr)</w:t>
            </w:r>
          </w:p>
          <w:p>
            <w:pPr>
              <w:spacing w:after="40"/>
              <w:ind w:left="144"/>
            </w:pPr>
            <w:r>
              <w:rPr>
                <w:color w:val="4A5568"/>
                <w:sz w:val="17"/>
              </w:rPr>
              <w:t>▪  Piping streams and filters (grep, find, xargs)</w:t>
            </w:r>
          </w:p>
          <w:p>
            <w:pPr>
              <w:spacing w:after="40"/>
              <w:ind w:left="144"/>
            </w:pPr>
            <w:r>
              <w:rPr>
                <w:color w:val="4A5568"/>
                <w:sz w:val="17"/>
              </w:rPr>
              <w:t>▪  Writing robust Bash shell scripts</w:t>
            </w:r>
          </w:p>
          <w:p>
            <w:pPr>
              <w:spacing w:after="40"/>
              <w:ind w:left="144"/>
            </w:pPr>
            <w:r>
              <w:rPr>
                <w:color w:val="4A5568"/>
                <w:sz w:val="17"/>
              </w:rPr>
              <w:t>▪  Task automation via Cron scheduling</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Teaches command-line automation first-principles, enabling interns to write scripts to install dependencies, clean directories, and verify application processes.</w:t>
            </w:r>
          </w:p>
        </w:tc>
      </w:tr>
      <w:tr>
        <w:tc>
          <w:tcPr>
            <w:tcW w:type="dxa" w:w="9360"/>
            <w:gridSpan w:val="3"/>
            <w:shd w:fill="2B6CB0"/>
            <w:tcBorders>
              <w:top w:val="single" w:sz="4" w:color="2B6CB0"/>
              <w:left w:val="single" w:sz="4" w:color="2B6CB0"/>
              <w:bottom w:val="single" w:sz="4" w:color="2B6CB0"/>
              <w:right w:val="single" w:sz="4" w:color="2B6CB0"/>
            </w:tcBorders>
            <w:tcMar>
              <w:top w:w="140" w:type="dxa"/>
              <w:bottom w:w="140" w:type="dxa"/>
              <w:left w:w="180" w:type="dxa"/>
              <w:right w:w="180" w:type="dxa"/>
            </w:tcMar>
          </w:tcPr>
          <w:p>
            <w:pPr>
              <w:spacing w:before="80" w:after="80"/>
              <w:jc w:val="center"/>
            </w:pPr>
            <w:r>
              <w:rPr>
                <w:b/>
                <w:color w:val="FFFFFF"/>
                <w:sz w:val="20"/>
              </w:rPr>
              <w:t>PART II: TEAM COLLABORATION &amp; DATABASES (DAYS 4-6)</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4</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Git Collaboration &amp; Team Development</w:t>
            </w:r>
          </w:p>
          <w:p>
            <w:pPr>
              <w:spacing w:after="40"/>
              <w:ind w:left="144"/>
            </w:pPr>
            <w:r>
              <w:rPr>
                <w:color w:val="4A5568"/>
                <w:sz w:val="17"/>
              </w:rPr>
              <w:t>▪  Git internals: commit graphs, staging &amp; blobs</w:t>
            </w:r>
          </w:p>
          <w:p>
            <w:pPr>
              <w:spacing w:after="40"/>
              <w:ind w:left="144"/>
            </w:pPr>
            <w:r>
              <w:rPr>
                <w:color w:val="4A5568"/>
                <w:sz w:val="17"/>
              </w:rPr>
              <w:t>▪  Collaborative branching models (Feature branches, main)</w:t>
            </w:r>
          </w:p>
          <w:p>
            <w:pPr>
              <w:spacing w:after="40"/>
              <w:ind w:left="144"/>
            </w:pPr>
            <w:r>
              <w:rPr>
                <w:color w:val="4A5568"/>
                <w:sz w:val="17"/>
              </w:rPr>
              <w:t>▪  Opening Pull Requests (PRs) &amp; code review etiquette</w:t>
            </w:r>
          </w:p>
          <w:p>
            <w:pPr>
              <w:spacing w:after="40"/>
              <w:ind w:left="144"/>
            </w:pPr>
            <w:r>
              <w:rPr>
                <w:color w:val="4A5568"/>
                <w:sz w:val="17"/>
              </w:rPr>
              <w:t>▪  Resolving merge conflicts and git rebase</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Crucial for team alignment. Empowers 4-member teams to develop, review, merge, and pull code simultaneously without breaking the central codebase.</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5</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Relational Databases &amp; SQL Schema Design</w:t>
            </w:r>
          </w:p>
          <w:p>
            <w:pPr>
              <w:spacing w:after="40"/>
              <w:ind w:left="144"/>
            </w:pPr>
            <w:r>
              <w:rPr>
                <w:color w:val="4A5568"/>
                <w:sz w:val="17"/>
              </w:rPr>
              <w:t>▪  ACID properties &amp; transactional reliability</w:t>
            </w:r>
          </w:p>
          <w:p>
            <w:pPr>
              <w:spacing w:after="40"/>
              <w:ind w:left="144"/>
            </w:pPr>
            <w:r>
              <w:rPr>
                <w:color w:val="4A5568"/>
                <w:sz w:val="17"/>
              </w:rPr>
              <w:t>▪  SQL schema design: PKs, FKs, and normalization</w:t>
            </w:r>
          </w:p>
          <w:p>
            <w:pPr>
              <w:spacing w:after="40"/>
              <w:ind w:left="144"/>
            </w:pPr>
            <w:r>
              <w:rPr>
                <w:color w:val="4A5568"/>
                <w:sz w:val="17"/>
              </w:rPr>
              <w:t>▪  Efficient lookups using B-Tree indexing</w:t>
            </w:r>
          </w:p>
          <w:p>
            <w:pPr>
              <w:spacing w:after="40"/>
              <w:ind w:left="144"/>
            </w:pPr>
            <w:r>
              <w:rPr>
                <w:color w:val="4A5568"/>
                <w:sz w:val="17"/>
              </w:rPr>
              <w:t>▪  PostgreSQL database configuration</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Teaches structural data consistency. Interns learn to write clean relational schemas, preventing database locks and ensuring transactional integrity.</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6</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Non-Relational Databases: MongoDB</w:t>
            </w:r>
          </w:p>
          <w:p>
            <w:pPr>
              <w:spacing w:after="40"/>
              <w:ind w:left="144"/>
            </w:pPr>
            <w:r>
              <w:rPr>
                <w:color w:val="4A5568"/>
                <w:sz w:val="17"/>
              </w:rPr>
              <w:t>▪  CAP Theorem: Consistency, Availability, Partition Tolerance</w:t>
            </w:r>
          </w:p>
          <w:p>
            <w:pPr>
              <w:spacing w:after="40"/>
              <w:ind w:left="144"/>
            </w:pPr>
            <w:r>
              <w:rPr>
                <w:color w:val="4A5568"/>
                <w:sz w:val="17"/>
              </w:rPr>
              <w:t>▪  Document-store model &amp; collection modeling</w:t>
            </w:r>
          </w:p>
          <w:p>
            <w:pPr>
              <w:spacing w:after="40"/>
              <w:ind w:left="144"/>
            </w:pPr>
            <w:r>
              <w:rPr>
                <w:color w:val="4A5568"/>
                <w:sz w:val="17"/>
              </w:rPr>
              <w:t>▪  Handling unstructured datasets vs. relational data</w:t>
            </w:r>
          </w:p>
          <w:p>
            <w:pPr>
              <w:spacing w:after="40"/>
              <w:ind w:left="144"/>
            </w:pPr>
            <w:r>
              <w:rPr>
                <w:color w:val="4A5568"/>
                <w:sz w:val="17"/>
              </w:rPr>
              <w:t>▪  Connecting node/python clients to MongoDB</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Explains horizontal scaling trade-offs, teaching students when to swap strict SQL constraints for fast, flexible JSON document storage.</w:t>
            </w:r>
          </w:p>
        </w:tc>
      </w:tr>
      <w:tr>
        <w:tc>
          <w:tcPr>
            <w:tcW w:type="dxa" w:w="9360"/>
            <w:gridSpan w:val="3"/>
            <w:shd w:fill="2B6CB0"/>
            <w:tcBorders>
              <w:top w:val="single" w:sz="4" w:color="2B6CB0"/>
              <w:left w:val="single" w:sz="4" w:color="2B6CB0"/>
              <w:bottom w:val="single" w:sz="4" w:color="2B6CB0"/>
              <w:right w:val="single" w:sz="4" w:color="2B6CB0"/>
            </w:tcBorders>
            <w:tcMar>
              <w:top w:w="140" w:type="dxa"/>
              <w:bottom w:w="140" w:type="dxa"/>
              <w:left w:w="180" w:type="dxa"/>
              <w:right w:w="180" w:type="dxa"/>
            </w:tcMar>
          </w:tcPr>
          <w:p>
            <w:pPr>
              <w:spacing w:before="80" w:after="80"/>
              <w:jc w:val="center"/>
            </w:pPr>
            <w:r>
              <w:rPr>
                <w:b/>
                <w:color w:val="FFFFFF"/>
                <w:sz w:val="20"/>
              </w:rPr>
              <w:t>PART III: AI, VECTORS &amp; RAG PIPELINES (DAYS 7-9)</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7</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Generative AI: LLM Fundamentals &amp; APIs</w:t>
            </w:r>
          </w:p>
          <w:p>
            <w:pPr>
              <w:spacing w:after="40"/>
              <w:ind w:left="144"/>
            </w:pPr>
            <w:r>
              <w:rPr>
                <w:color w:val="4A5568"/>
                <w:sz w:val="17"/>
              </w:rPr>
              <w:t>▪  LLM architecture overview (Transformers &amp; attention)</w:t>
            </w:r>
          </w:p>
          <w:p>
            <w:pPr>
              <w:spacing w:after="40"/>
              <w:ind w:left="144"/>
            </w:pPr>
            <w:r>
              <w:rPr>
                <w:color w:val="4A5568"/>
                <w:sz w:val="17"/>
              </w:rPr>
              <w:t>▪  Tokens, context windows, and cost optimization</w:t>
            </w:r>
          </w:p>
          <w:p>
            <w:pPr>
              <w:spacing w:after="40"/>
              <w:ind w:left="144"/>
            </w:pPr>
            <w:r>
              <w:rPr>
                <w:color w:val="4A5568"/>
                <w:sz w:val="17"/>
              </w:rPr>
              <w:t>▪  System Prompts vs. User Prompts &amp; JSON Mode output</w:t>
            </w:r>
          </w:p>
          <w:p>
            <w:pPr>
              <w:spacing w:after="40"/>
              <w:ind w:left="144"/>
            </w:pPr>
            <w:r>
              <w:rPr>
                <w:color w:val="4A5568"/>
                <w:sz w:val="17"/>
              </w:rPr>
              <w:t>▪  API request orchestration (handling timeouts &amp; retries)</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Bridges AI concepts with application logic, training interns to extract structured JSON data from raw LLM responses to drive backend business flows.</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8</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Vector Databases &amp; Semantic Embeddings</w:t>
            </w:r>
          </w:p>
          <w:p>
            <w:pPr>
              <w:spacing w:after="40"/>
              <w:ind w:left="144"/>
            </w:pPr>
            <w:r>
              <w:rPr>
                <w:color w:val="4A5568"/>
                <w:sz w:val="17"/>
              </w:rPr>
              <w:t>▪  Converting text data to high-dimensional vector embeddings</w:t>
            </w:r>
          </w:p>
          <w:p>
            <w:pPr>
              <w:spacing w:after="40"/>
              <w:ind w:left="144"/>
            </w:pPr>
            <w:r>
              <w:rPr>
                <w:color w:val="4A5568"/>
                <w:sz w:val="17"/>
              </w:rPr>
              <w:t>▪  Chroma DB and pgvector extensions</w:t>
            </w:r>
          </w:p>
          <w:p>
            <w:pPr>
              <w:spacing w:after="40"/>
              <w:ind w:left="144"/>
            </w:pPr>
            <w:r>
              <w:rPr>
                <w:color w:val="4A5568"/>
                <w:sz w:val="17"/>
              </w:rPr>
              <w:t>▪  Distance metrics: Cosine, Dot Product, L2</w:t>
            </w:r>
          </w:p>
          <w:p>
            <w:pPr>
              <w:spacing w:after="40"/>
              <w:ind w:left="144"/>
            </w:pPr>
            <w:r>
              <w:rPr>
                <w:color w:val="4A5568"/>
                <w:sz w:val="17"/>
              </w:rPr>
              <w:t>▪  Indexing vectors for sub-second similarity search</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Enables unstructured semantic search. Students learn how search engines map mathematical meanings, setting up local context retrieval.</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9</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RAG Pipelines &amp; Advanced Prompting</w:t>
            </w:r>
          </w:p>
          <w:p>
            <w:pPr>
              <w:spacing w:after="40"/>
              <w:ind w:left="144"/>
            </w:pPr>
            <w:r>
              <w:rPr>
                <w:color w:val="4A5568"/>
                <w:sz w:val="17"/>
              </w:rPr>
              <w:t>▪  Retrieval-Augmented Generation (RAG) architecture</w:t>
            </w:r>
          </w:p>
          <w:p>
            <w:pPr>
              <w:spacing w:after="40"/>
              <w:ind w:left="144"/>
            </w:pPr>
            <w:r>
              <w:rPr>
                <w:color w:val="4A5568"/>
                <w:sz w:val="17"/>
              </w:rPr>
              <w:t>▪  Text chunking algorithms &amp; overlap configurations</w:t>
            </w:r>
          </w:p>
          <w:p>
            <w:pPr>
              <w:spacing w:after="40"/>
              <w:ind w:left="144"/>
            </w:pPr>
            <w:r>
              <w:rPr>
                <w:color w:val="4A5568"/>
                <w:sz w:val="17"/>
              </w:rPr>
              <w:t>▪  Context injection and system prompt assembly</w:t>
            </w:r>
          </w:p>
          <w:p>
            <w:pPr>
              <w:spacing w:after="40"/>
              <w:ind w:left="144"/>
            </w:pPr>
            <w:r>
              <w:rPr>
                <w:color w:val="4A5568"/>
                <w:sz w:val="17"/>
              </w:rPr>
              <w:t>▪  Mitigating LLM hallucinations using ground truth data</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Equips interns to feed private enterprise data to public LLMs, building secure search systems that answer based on local knowledge bases.</w:t>
            </w:r>
          </w:p>
        </w:tc>
      </w:tr>
      <w:tr>
        <w:tc>
          <w:tcPr>
            <w:tcW w:type="dxa" w:w="9360"/>
            <w:gridSpan w:val="3"/>
            <w:shd w:fill="2B6CB0"/>
            <w:tcBorders>
              <w:top w:val="single" w:sz="4" w:color="2B6CB0"/>
              <w:left w:val="single" w:sz="4" w:color="2B6CB0"/>
              <w:bottom w:val="single" w:sz="4" w:color="2B6CB0"/>
              <w:right w:val="single" w:sz="4" w:color="2B6CB0"/>
            </w:tcBorders>
            <w:tcMar>
              <w:top w:w="140" w:type="dxa"/>
              <w:bottom w:w="140" w:type="dxa"/>
              <w:left w:w="180" w:type="dxa"/>
              <w:right w:w="180" w:type="dxa"/>
            </w:tcMar>
          </w:tcPr>
          <w:p>
            <w:pPr>
              <w:spacing w:before="80" w:after="80"/>
              <w:jc w:val="center"/>
            </w:pPr>
            <w:r>
              <w:rPr>
                <w:b/>
                <w:color w:val="FFFFFF"/>
                <w:sz w:val="20"/>
              </w:rPr>
              <w:t>PART IV: AUTONOMOUS AI AGENTS &amp; ORCHESTRATION (DAYS 10-13)</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10</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AI Agents: ReAct Loops &amp; Function Calling</w:t>
            </w:r>
          </w:p>
          <w:p>
            <w:pPr>
              <w:spacing w:after="40"/>
              <w:ind w:left="144"/>
            </w:pPr>
            <w:r>
              <w:rPr>
                <w:color w:val="4A5568"/>
                <w:sz w:val="17"/>
              </w:rPr>
              <w:t>▪  Defining Agent autonomy: Reason-Act (ReAct) frameworks</w:t>
            </w:r>
          </w:p>
          <w:p>
            <w:pPr>
              <w:spacing w:after="40"/>
              <w:ind w:left="144"/>
            </w:pPr>
            <w:r>
              <w:rPr>
                <w:color w:val="4A5568"/>
                <w:sz w:val="17"/>
              </w:rPr>
              <w:t>▪  Function calling: declaring API tool schemas to LLMs</w:t>
            </w:r>
          </w:p>
          <w:p>
            <w:pPr>
              <w:spacing w:after="40"/>
              <w:ind w:left="144"/>
            </w:pPr>
            <w:r>
              <w:rPr>
                <w:color w:val="4A5568"/>
                <w:sz w:val="17"/>
              </w:rPr>
              <w:t>▪  Parsing agent actions from text outputs</w:t>
            </w:r>
          </w:p>
          <w:p>
            <w:pPr>
              <w:spacing w:after="40"/>
              <w:ind w:left="144"/>
            </w:pPr>
            <w:r>
              <w:rPr>
                <w:color w:val="4A5568"/>
                <w:sz w:val="17"/>
              </w:rPr>
              <w:t>▪  Managing state across multi-turn agent loops</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Transitions from static prompts to autonomous execution, showing how AI can select tools, write arguments, and act based on execution results.</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11</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Multi-Agent Systems &amp; n8n Workflows</w:t>
            </w:r>
          </w:p>
          <w:p>
            <w:pPr>
              <w:spacing w:after="40"/>
              <w:ind w:left="144"/>
            </w:pPr>
            <w:r>
              <w:rPr>
                <w:color w:val="4A5568"/>
                <w:sz w:val="17"/>
              </w:rPr>
              <w:t>▪  Low-code automation with n8n workflow designer</w:t>
            </w:r>
          </w:p>
          <w:p>
            <w:pPr>
              <w:spacing w:after="40"/>
              <w:ind w:left="144"/>
            </w:pPr>
            <w:r>
              <w:rPr>
                <w:color w:val="4A5568"/>
                <w:sz w:val="17"/>
              </w:rPr>
              <w:t>▪  Creating event triggers (webhooks, email, scheduled)</w:t>
            </w:r>
          </w:p>
          <w:p>
            <w:pPr>
              <w:spacing w:after="40"/>
              <w:ind w:left="144"/>
            </w:pPr>
            <w:r>
              <w:rPr>
                <w:color w:val="4A5568"/>
                <w:sz w:val="17"/>
              </w:rPr>
              <w:t>▪  n8n AI Nodes: injecting agents, tools, memory</w:t>
            </w:r>
          </w:p>
          <w:p>
            <w:pPr>
              <w:spacing w:after="40"/>
              <w:ind w:left="144"/>
            </w:pPr>
            <w:r>
              <w:rPr>
                <w:color w:val="4A5568"/>
                <w:sz w:val="17"/>
              </w:rPr>
              <w:t>▪  Chaining multi-agent inputs/outputs</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Teaches enterprise-level system integration, allowing interns to automate complex pipelines (scrapers, triggers, notifications) with zero manual code.</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12</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OpenClaw Agent Orchestration Framework</w:t>
            </w:r>
          </w:p>
          <w:p>
            <w:pPr>
              <w:spacing w:after="40"/>
              <w:ind w:left="144"/>
            </w:pPr>
            <w:r>
              <w:rPr>
                <w:color w:val="4A5568"/>
                <w:sz w:val="17"/>
              </w:rPr>
              <w:t>▪  OpenClaw core architecture &amp; multi-agent managers</w:t>
            </w:r>
          </w:p>
          <w:p>
            <w:pPr>
              <w:spacing w:after="40"/>
              <w:ind w:left="144"/>
            </w:pPr>
            <w:r>
              <w:rPr>
                <w:color w:val="4A5568"/>
                <w:sz w:val="17"/>
              </w:rPr>
              <w:t>▪  Defining system instructions &amp; skill definitions</w:t>
            </w:r>
          </w:p>
          <w:p>
            <w:pPr>
              <w:spacing w:after="40"/>
              <w:ind w:left="144"/>
            </w:pPr>
            <w:r>
              <w:rPr>
                <w:color w:val="4A5568"/>
                <w:sz w:val="17"/>
              </w:rPr>
              <w:t>▪  Writing custom execution tools in Python</w:t>
            </w:r>
          </w:p>
          <w:p>
            <w:pPr>
              <w:spacing w:after="40"/>
              <w:ind w:left="144"/>
            </w:pPr>
            <w:r>
              <w:rPr>
                <w:color w:val="4A5568"/>
                <w:sz w:val="17"/>
              </w:rPr>
              <w:t>▪  Tracing agent decision paths and debugging logs</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Exposes interns to code-first agent design, teaching them to construct, customize, and orchestrate custom Python agent teams.</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13</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Local LLMs &amp; Hermes Agent Execution</w:t>
            </w:r>
          </w:p>
          <w:p>
            <w:pPr>
              <w:spacing w:after="40"/>
              <w:ind w:left="144"/>
            </w:pPr>
            <w:r>
              <w:rPr>
                <w:color w:val="4A5568"/>
                <w:sz w:val="17"/>
              </w:rPr>
              <w:t>▪  Ollama ecosystem: pulling &amp; serving open-weights models</w:t>
            </w:r>
          </w:p>
          <w:p>
            <w:pPr>
              <w:spacing w:after="40"/>
              <w:ind w:left="144"/>
            </w:pPr>
            <w:r>
              <w:rPr>
                <w:color w:val="4A5568"/>
                <w:sz w:val="17"/>
              </w:rPr>
              <w:t>▪  Running Hermes / LLaMA 3 locally on LaaS GPU nodes</w:t>
            </w:r>
          </w:p>
          <w:p>
            <w:pPr>
              <w:spacing w:after="40"/>
              <w:ind w:left="144"/>
            </w:pPr>
            <w:r>
              <w:rPr>
                <w:color w:val="4A5568"/>
                <w:sz w:val="17"/>
              </w:rPr>
              <w:t>▪  Local hardware performance constraints (VRAM, memory)</w:t>
            </w:r>
          </w:p>
          <w:p>
            <w:pPr>
              <w:spacing w:after="40"/>
              <w:ind w:left="144"/>
            </w:pPr>
            <w:r>
              <w:rPr>
                <w:color w:val="4A5568"/>
                <w:sz w:val="17"/>
              </w:rPr>
              <w:t>▪  Local model security vs. public cloud APIs</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Demystifies self-hosted AI, teaching students how to run models locally to guarantee data privacy, eliminate API costs, and utilize supercomputing nodes.</w:t>
            </w:r>
          </w:p>
        </w:tc>
      </w:tr>
      <w:tr>
        <w:tc>
          <w:tcPr>
            <w:tcW w:type="dxa" w:w="9360"/>
            <w:gridSpan w:val="3"/>
            <w:shd w:fill="2B6CB0"/>
            <w:tcBorders>
              <w:top w:val="single" w:sz="4" w:color="2B6CB0"/>
              <w:left w:val="single" w:sz="4" w:color="2B6CB0"/>
              <w:bottom w:val="single" w:sz="4" w:color="2B6CB0"/>
              <w:right w:val="single" w:sz="4" w:color="2B6CB0"/>
            </w:tcBorders>
            <w:tcMar>
              <w:top w:w="140" w:type="dxa"/>
              <w:bottom w:w="140" w:type="dxa"/>
              <w:left w:w="180" w:type="dxa"/>
              <w:right w:w="180" w:type="dxa"/>
            </w:tcMar>
          </w:tcPr>
          <w:p>
            <w:pPr>
              <w:spacing w:before="80" w:after="80"/>
              <w:jc w:val="center"/>
            </w:pPr>
            <w:r>
              <w:rPr>
                <w:b/>
                <w:color w:val="FFFFFF"/>
                <w:sz w:val="20"/>
              </w:rPr>
              <w:t>PART V: BACKEND INTEGRATION &amp; GenAI SECURITY (DAYS 14-15)</w:t>
            </w:r>
          </w:p>
        </w:tc>
      </w:tr>
      <w:tr>
        <w:tc>
          <w:tcPr>
            <w:tcW w:type="dxa" w:w="1152"/>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14</w:t>
            </w:r>
          </w:p>
        </w:tc>
        <w:tc>
          <w:tcPr>
            <w:tcW w:type="dxa" w:w="3168"/>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Backend API Development &amp; Integration</w:t>
            </w:r>
          </w:p>
          <w:p>
            <w:pPr>
              <w:spacing w:after="40"/>
              <w:ind w:left="144"/>
            </w:pPr>
            <w:r>
              <w:rPr>
                <w:color w:val="4A5568"/>
                <w:sz w:val="17"/>
              </w:rPr>
              <w:t>▪  RESTful API principles (Endpoints, HTTP methods, JSON payloads)</w:t>
            </w:r>
          </w:p>
          <w:p>
            <w:pPr>
              <w:spacing w:after="40"/>
              <w:ind w:left="144"/>
            </w:pPr>
            <w:r>
              <w:rPr>
                <w:color w:val="4A5568"/>
                <w:sz w:val="17"/>
              </w:rPr>
              <w:t>▪  Backend routing using FastAPI (Python) or Express (Node.js)</w:t>
            </w:r>
          </w:p>
          <w:p>
            <w:pPr>
              <w:spacing w:after="40"/>
              <w:ind w:left="144"/>
            </w:pPr>
            <w:r>
              <w:rPr>
                <w:color w:val="4A5568"/>
                <w:sz w:val="17"/>
              </w:rPr>
              <w:t>▪  Connecting endpoints to PostgreSQL/MongoDB clients</w:t>
            </w:r>
          </w:p>
          <w:p>
            <w:pPr>
              <w:spacing w:after="40"/>
              <w:ind w:left="144"/>
            </w:pPr>
            <w:r>
              <w:rPr>
                <w:color w:val="4A5568"/>
                <w:sz w:val="17"/>
              </w:rPr>
              <w:t>▪  Integrating agent execution loops into HTTP request handlers</w:t>
            </w:r>
          </w:p>
        </w:tc>
        <w:tc>
          <w:tcPr>
            <w:tcW w:type="dxa" w:w="5040"/>
            <w:shd w:fill="F7FAFC"/>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Ties the product together, teaching interns how to expose databases and AI agent actions as secure APIs that any web frontend can call.</w:t>
            </w:r>
          </w:p>
        </w:tc>
      </w:tr>
      <w:tr>
        <w:tc>
          <w:tcPr>
            <w:tcW w:type="dxa" w:w="1152"/>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b/>
                <w:color w:val="2D3748"/>
                <w:sz w:val="20"/>
              </w:rPr>
              <w:t>Day 15</w:t>
            </w:r>
          </w:p>
        </w:tc>
        <w:tc>
          <w:tcPr>
            <w:tcW w:type="dxa" w:w="3168"/>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80"/>
            </w:pPr>
            <w:r>
              <w:rPr>
                <w:b/>
                <w:color w:val="1A365D"/>
                <w:sz w:val="20"/>
              </w:rPr>
              <w:t>GenAI Security, Guardrails &amp; Sandboxing</w:t>
            </w:r>
          </w:p>
          <w:p>
            <w:pPr>
              <w:spacing w:after="40"/>
              <w:ind w:left="144"/>
            </w:pPr>
            <w:r>
              <w:rPr>
                <w:color w:val="4A5568"/>
                <w:sz w:val="17"/>
              </w:rPr>
              <w:t>▪  OWASP Top 10 for LLMs: Prompt Injection &amp; Data Leakage</w:t>
            </w:r>
          </w:p>
          <w:p>
            <w:pPr>
              <w:spacing w:after="40"/>
              <w:ind w:left="144"/>
            </w:pPr>
            <w:r>
              <w:rPr>
                <w:color w:val="4A5568"/>
                <w:sz w:val="17"/>
              </w:rPr>
              <w:t>▪  API key management &amp; securing environmental configurations</w:t>
            </w:r>
          </w:p>
          <w:p>
            <w:pPr>
              <w:spacing w:after="40"/>
              <w:ind w:left="144"/>
            </w:pPr>
            <w:r>
              <w:rPr>
                <w:color w:val="4A5568"/>
                <w:sz w:val="17"/>
              </w:rPr>
              <w:t>▪  Isolating code execution using Docker sandboxing</w:t>
            </w:r>
          </w:p>
          <w:p>
            <w:pPr>
              <w:spacing w:after="40"/>
              <w:ind w:left="144"/>
            </w:pPr>
            <w:r>
              <w:rPr>
                <w:color w:val="4A5568"/>
                <w:sz w:val="17"/>
              </w:rPr>
              <w:t>▪  Implementing output moderation &amp; validation rules</w:t>
            </w:r>
          </w:p>
        </w:tc>
        <w:tc>
          <w:tcPr>
            <w:tcW w:type="dxa" w:w="5040"/>
            <w:shd w:fill="FFFFFF"/>
            <w:tcBorders>
              <w:top w:val="single" w:sz="4" w:color="E2E8F0"/>
              <w:left w:val="single" w:sz="4" w:color="E2E8F0"/>
              <w:bottom w:val="single" w:sz="4" w:color="E2E8F0"/>
              <w:right w:val="single" w:sz="4" w:color="E2E8F0"/>
            </w:tcBorders>
            <w:tcMar>
              <w:top w:w="120" w:type="dxa"/>
              <w:bottom w:w="120" w:type="dxa"/>
              <w:left w:w="140" w:type="dxa"/>
              <w:right w:w="140" w:type="dxa"/>
            </w:tcMar>
          </w:tcPr>
          <w:p>
            <w:pPr>
              <w:spacing w:after="0"/>
            </w:pPr>
            <w:r>
              <w:rPr>
                <w:color w:val="4A5568"/>
                <w:sz w:val="19"/>
              </w:rPr>
              <w:t>Critical for cybersecurity and robustness. Ensures interns build production-grade, secure applications that protect api secrets and contain AI execution risks.</w:t>
            </w:r>
          </w:p>
        </w:tc>
      </w:tr>
    </w:tbl>
    <w:p/>
    <w:tbl>
      <w:tblPr>
        <w:tblW w:type="auto" w:w="0"/>
        <w:tblLayout w:type="fixed"/>
        <w:tblLook w:firstColumn="1" w:firstRow="1" w:lastColumn="0" w:lastRow="0" w:noHBand="0" w:noVBand="1" w:val="04A0"/>
      </w:tblPr>
      <w:tblGrid>
        <w:gridCol w:w="4680"/>
        <w:gridCol w:w="4680"/>
      </w:tblGrid>
      <w:tr>
        <w:tc>
          <w:tcPr>
            <w:tcW w:type="dxa" w:w="173"/>
            <w:shd w:fill="1A365D"/>
          </w:tcPr>
          <w:p>
            <w:pPr>
              <w:spacing w:before="0" w:after="0"/>
            </w:pPr>
            <w:r>
              <w:t xml:space="preserve"> </w:t>
            </w:r>
          </w:p>
        </w:tc>
        <w:tc>
          <w:tcPr>
            <w:tcW w:type="dxa" w:w="9187"/>
          </w:tcPr>
          <w:p>
            <w:pPr>
              <w:spacing w:before="80" w:after="80"/>
            </w:pPr>
            <w:r>
              <w:rPr>
                <w:b/>
                <w:color w:val="1A365D"/>
                <w:sz w:val="28"/>
              </w:rPr>
              <w:t>Collaborative Projects: Specifications for 14 Teams</w:t>
            </w:r>
          </w:p>
        </w:tc>
      </w:tr>
    </w:tbl>
    <w:p/>
    <w:p>
      <w:r>
        <w:rPr>
          <w:sz w:val="21"/>
        </w:rPr>
        <w:t>Each of the 14 teams is assigned a unique project on Day 1. The specifications below are structured to ensure a balanced workload where each member (UI, Backend, Database, AI/Security) contributes directly to the project's overall success:</w:t>
      </w:r>
    </w:p>
    <w:p>
      <w:pPr>
        <w:spacing w:after="160"/>
        <w:ind w:left="288"/>
      </w:pPr>
      <w:r>
        <w:rPr>
          <w:b/>
          <w:color w:val="1A365D"/>
          <w:sz w:val="22"/>
        </w:rPr>
        <w:t>•  Team 1: Agentic Code-Execution Sandbox</w:t>
        <w:br/>
      </w:r>
      <w:r>
        <w:rPr>
          <w:color w:val="4A5568"/>
          <w:sz w:val="19"/>
        </w:rPr>
        <w:t>A web terminal where users write natural language instructions to generate and execute Python scripts. The AI Agent (OpenClaw) translates instructions, writes code, executes it inside a secure, isolated Docker container on LaaS, and reports stdout/stderr back. UI: React Web Console. DB: PostgreSQL for script logs and execution audit records.</w:t>
      </w:r>
    </w:p>
    <w:p>
      <w:pPr>
        <w:spacing w:after="160"/>
        <w:ind w:left="288"/>
      </w:pPr>
      <w:r>
        <w:rPr>
          <w:b/>
          <w:color w:val="1A365D"/>
          <w:sz w:val="22"/>
        </w:rPr>
        <w:t>•  Team 2: AI-Driven Customer Ticket Router &amp; Solver</w:t>
        <w:br/>
      </w:r>
      <w:r>
        <w:rPr>
          <w:color w:val="4A5568"/>
          <w:sz w:val="19"/>
        </w:rPr>
        <w:t>A customer support portal that ingests incoming user queries. An agent automatically classifies query intent, queries a PostgreSQL database of historical solutions, and either resolves the ticket using a RAG agent or routes it to a human specialist. UI: Support dashboard. DB: PostgreSQL. AI: OpenClaw router agent.</w:t>
      </w:r>
    </w:p>
    <w:p>
      <w:pPr>
        <w:spacing w:after="160"/>
        <w:ind w:left="288"/>
      </w:pPr>
      <w:r>
        <w:rPr>
          <w:b/>
          <w:color w:val="1A365D"/>
          <w:sz w:val="22"/>
        </w:rPr>
        <w:t>•  Team 3: Smart IoT Energy Fleet Monitor &amp; Alert System</w:t>
        <w:br/>
      </w:r>
      <w:r>
        <w:rPr>
          <w:color w:val="4A5568"/>
          <w:sz w:val="19"/>
        </w:rPr>
        <w:t>A dashboard visualizing real-time telemetry from simulated IoT smart meters. Relies on an MQTT broker. An agent monitors incoming power spikes, logs anomalies in MongoDB, and triggers alert notifications via n8n email/Slack nodes. UI: Live chart monitor. DB: MongoDB. IoT: Virtual telemetry simulator.</w:t>
      </w:r>
    </w:p>
    <w:p>
      <w:pPr>
        <w:spacing w:after="160"/>
        <w:ind w:left="288"/>
      </w:pPr>
      <w:r>
        <w:rPr>
          <w:b/>
          <w:color w:val="1A365D"/>
          <w:sz w:val="22"/>
        </w:rPr>
        <w:t>•  Team 4: LLM Security Shield Middleware Proxy</w:t>
        <w:br/>
      </w:r>
      <w:r>
        <w:rPr>
          <w:color w:val="4A5568"/>
          <w:sz w:val="19"/>
        </w:rPr>
        <w:t>A security proxy server sitting in front of public LLMs. It scans incoming prompts for known injection signatures, verifies API tokens, logs threats in MongoDB, and blocks malicious requests. AI: Guardrail classification model. DB: MongoDB. Security: Threat logger and rate-limiting middleware.</w:t>
      </w:r>
    </w:p>
    <w:p>
      <w:pPr>
        <w:spacing w:after="160"/>
        <w:ind w:left="288"/>
      </w:pPr>
      <w:r>
        <w:rPr>
          <w:b/>
          <w:color w:val="1A365D"/>
          <w:sz w:val="22"/>
        </w:rPr>
        <w:t>•  Team 5: RAG-Powered Academic Research Portal</w:t>
        <w:br/>
      </w:r>
      <w:r>
        <w:rPr>
          <w:color w:val="4A5568"/>
          <w:sz w:val="19"/>
        </w:rPr>
        <w:t>A portal where students upload PDF textbooks and research papers. Papers are parsed, vectorized using pgvector, and stored. A local Hermes LLM runs RAG search loops to help students write literature summaries. UI: PDF uploader + chat UI. DB: PostgreSQL + pgvector. AI: Hermes RAG engine.</w:t>
      </w:r>
    </w:p>
    <w:p>
      <w:pPr>
        <w:spacing w:after="160"/>
        <w:ind w:left="288"/>
      </w:pPr>
      <w:r>
        <w:rPr>
          <w:b/>
          <w:color w:val="1A365D"/>
          <w:sz w:val="22"/>
        </w:rPr>
        <w:t>•  Team 6: Collaborative Block-Editor with Agent Summary</w:t>
        <w:br/>
      </w:r>
      <w:r>
        <w:rPr>
          <w:color w:val="4A5568"/>
          <w:sz w:val="19"/>
        </w:rPr>
        <w:t>A block-based document editor (similar to Notion). Multiple users can collaborate. An agent runs periodically to read the block hierarchy, index document blocks into MongoDB, and generate automated summaries and tag recommendations. UI: React block editor. DB: MongoDB. AI: n8n text analyzer.</w:t>
      </w:r>
    </w:p>
    <w:p>
      <w:pPr>
        <w:spacing w:after="160"/>
        <w:ind w:left="288"/>
      </w:pPr>
      <w:r>
        <w:rPr>
          <w:b/>
          <w:color w:val="1A365D"/>
          <w:sz w:val="22"/>
        </w:rPr>
        <w:t>•  Team 7: Semantic Git Repository Explorer</w:t>
        <w:br/>
      </w:r>
      <w:r>
        <w:rPr>
          <w:color w:val="4A5568"/>
          <w:sz w:val="19"/>
        </w:rPr>
        <w:t>A tool that scans local code repositories, extracts function docstrings and structures, and stores them in Chroma DB. A chat agent lets developers search code semantically (e.g. 'find the function handling user login'). UI: Code directory tree + Chat. DB: Chroma DB. AI: OpenClaw semantic code indexer.</w:t>
      </w:r>
    </w:p>
    <w:p>
      <w:pPr>
        <w:spacing w:after="160"/>
        <w:ind w:left="288"/>
      </w:pPr>
      <w:r>
        <w:rPr>
          <w:b/>
          <w:color w:val="1A365D"/>
          <w:sz w:val="22"/>
        </w:rPr>
        <w:t>•  Team 8: Automated Cybersecurity Vulnerability Logger</w:t>
        <w:br/>
      </w:r>
      <w:r>
        <w:rPr>
          <w:color w:val="4A5568"/>
          <w:sz w:val="19"/>
        </w:rPr>
        <w:t>A security dashboard that ingests vulnerability scan reports (NMAP, OWASP). Reports are parsed, stored in Postgres, and an agent running local Hermes LLM recommends remediation scripts based on a RAG database of CVEs. UI: Vulnerability list. DB: PostgreSQL. AI: Hermes remediation recommender.</w:t>
      </w:r>
    </w:p>
    <w:p>
      <w:pPr>
        <w:spacing w:after="160"/>
        <w:ind w:left="288"/>
      </w:pPr>
      <w:r>
        <w:rPr>
          <w:b/>
          <w:color w:val="1A365D"/>
          <w:sz w:val="22"/>
        </w:rPr>
        <w:t>•  Team 9: Decentralized Vehicle Fleet Routing Dashboard</w:t>
        <w:br/>
      </w:r>
      <w:r>
        <w:rPr>
          <w:color w:val="4A5568"/>
          <w:sz w:val="19"/>
        </w:rPr>
        <w:t>An administrative dashboard representing a vehicle fleet. Virtual vehicles send location coordinates. An agent monitors congestion data, runs route optimization checks, and saves coordinate logs in MongoDB. UI: Geospatial map dashboard. DB: MongoDB. IoT: Mock GPS coordinate publisher.</w:t>
      </w:r>
    </w:p>
    <w:p>
      <w:pPr>
        <w:spacing w:after="160"/>
        <w:ind w:left="288"/>
      </w:pPr>
      <w:r>
        <w:rPr>
          <w:b/>
          <w:color w:val="1A365D"/>
          <w:sz w:val="22"/>
        </w:rPr>
        <w:t>•  Team 10: Autonomous n8n Lead Generation Engine</w:t>
        <w:br/>
      </w:r>
      <w:r>
        <w:rPr>
          <w:color w:val="4A5568"/>
          <w:sz w:val="19"/>
        </w:rPr>
        <w:t>A tool that scrapes public tech forums, vectorizes postings, and filters them based on interest templates. An agent writes a customized outreach draft and logs leads. UI: Campaign controller. DB: MongoDB. AI/Automation: n8n web-scraping workflow agent.</w:t>
      </w:r>
    </w:p>
    <w:p>
      <w:pPr>
        <w:spacing w:after="160"/>
        <w:ind w:left="288"/>
      </w:pPr>
      <w:r>
        <w:rPr>
          <w:b/>
          <w:color w:val="1A365D"/>
          <w:sz w:val="22"/>
        </w:rPr>
        <w:t>•  Team 11: Multi-Agent Patient Diagnostics Assistant</w:t>
        <w:br/>
      </w:r>
      <w:r>
        <w:rPr>
          <w:color w:val="4A5568"/>
          <w:sz w:val="19"/>
        </w:rPr>
        <w:t>A medical helper that ingests patient symptoms. An agent maps symptoms to a PostgreSQL medical knowledge base, routes the file to an agent specialized in diagnosis, and generates a medical report brief. UI: Patient intake portal. DB: PostgreSQL. AI: Multi-agent classification loop.</w:t>
      </w:r>
    </w:p>
    <w:p>
      <w:pPr>
        <w:spacing w:after="160"/>
        <w:ind w:left="288"/>
      </w:pPr>
      <w:r>
        <w:rPr>
          <w:b/>
          <w:color w:val="1A365D"/>
          <w:sz w:val="22"/>
        </w:rPr>
        <w:t>•  Team 12: API Traffic Monitor &amp; Agentic DDoS Guard</w:t>
        <w:br/>
      </w:r>
      <w:r>
        <w:rPr>
          <w:color w:val="4A5568"/>
          <w:sz w:val="19"/>
        </w:rPr>
        <w:t>A middleware dashboard logging server requests. An anomaly agent reviews metrics in MongoDB, flags suspicious IP addresses using vector clustering, and updates rate-limiter configurations dynamically. UI: Traffic charts. DB: MongoDB. Security: Dynamic IP blocker and firewall configuration.</w:t>
      </w:r>
    </w:p>
    <w:p>
      <w:pPr>
        <w:spacing w:after="160"/>
        <w:ind w:left="288"/>
      </w:pPr>
      <w:r>
        <w:rPr>
          <w:b/>
          <w:color w:val="1A365D"/>
          <w:sz w:val="22"/>
        </w:rPr>
        <w:t>•  Team 13: Local AI Technical Documentation Search</w:t>
        <w:br/>
      </w:r>
      <w:r>
        <w:rPr>
          <w:color w:val="4A5568"/>
          <w:sz w:val="19"/>
        </w:rPr>
        <w:t>A documentation portal containing system deployment guides. Vectorizes markdown pages into Chroma DB. A self-hosted Hermes LLM answers technical setup queries entirely offline on LaaS GPU nodes. UI: Search index + chat wrapper. DB: Chroma DB. AI: Local Hermes RAG.</w:t>
      </w:r>
    </w:p>
    <w:p>
      <w:pPr>
        <w:spacing w:after="160"/>
        <w:ind w:left="288"/>
      </w:pPr>
      <w:r>
        <w:rPr>
          <w:b/>
          <w:color w:val="1A365D"/>
          <w:sz w:val="22"/>
        </w:rPr>
        <w:t>•  Team 14: Personal AI Portfolio Scaffolder</w:t>
        <w:br/>
      </w:r>
      <w:r>
        <w:rPr>
          <w:color w:val="4A5568"/>
          <w:sz w:val="19"/>
        </w:rPr>
        <w:t>A portfolio designer where developers write their bio. An agent automatically writes clean HTML, CSS, and JS, verifies syntax, saves config settings in MongoDB, and launches a mock preview. UI: Portfolio editor pane. DB: MongoDB. AI: Code generation agent.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4A556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