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60"/>
        <w:jc w:val="center"/>
      </w:pPr>
      <w:r>
        <w:rPr>
          <w:rFonts w:ascii="Arial" w:cs="Arial" w:eastAsia="Arial" w:hAnsi="Arial"/>
          <w:b/>
          <w:bCs/>
          <w:color w:val="1a6b3a"/>
          <w:sz w:val="40"/>
          <w:szCs w:val="40"/>
        </w:rPr>
        <w:t xml:space="preserve">Task 1 Report</w:t>
      </w:r>
    </w:p>
    <w:p>
      <w:pPr>
        <w:spacing w:before="0" w:after="60"/>
        <w:jc w:val="center"/>
      </w:pPr>
      <w:r>
        <w:rPr>
          <w:rFonts w:ascii="Arial" w:cs="Arial" w:eastAsia="Arial" w:hAnsi="Arial"/>
          <w:i/>
          <w:iCs/>
          <w:color w:val="2E8B4A"/>
          <w:sz w:val="28"/>
          <w:szCs w:val="28"/>
        </w:rPr>
        <w:t xml:space="preserve">Digital Literacy Awareness Infographic</w:t>
      </w:r>
    </w:p>
    <w:p>
      <w:pPr>
        <w:spacing w:before="0" w:after="300"/>
        <w:jc w:val="center"/>
      </w:pPr>
      <w:r>
        <w:rPr>
          <w:rFonts w:ascii="Arial" w:cs="Arial" w:eastAsia="Arial" w:hAnsi="Arial"/>
          <w:color w:val="888888"/>
          <w:sz w:val="22"/>
          <w:szCs w:val="22"/>
        </w:rPr>
        <w:t xml:space="preserve">CSE0001 — Digital Literacy | VIT Bhopal University</w:t>
      </w:r>
    </w:p>
    <w:p>
      <w:pPr>
        <w:pBdr>
          <w:bottom w:val="single" w:color="2E8B4A" w:sz="4" w:space="1"/>
        </w:pBdr>
        <w:spacing w:before="160"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3a"/>
                <w:sz w:val="22"/>
                <w:szCs w:val="22"/>
              </w:rPr>
              <w:t xml:space="preserve">Course Code</w:t>
            </w:r>
          </w:p>
        </w:tc>
        <w:tc>
          <w:tcPr>
            <w:tcW w:type="dxa" w:w="6226"/>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22"/>
                <w:szCs w:val="22"/>
              </w:rPr>
              <w:t xml:space="preserve">CSE0001</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3a"/>
                <w:sz w:val="22"/>
                <w:szCs w:val="22"/>
              </w:rPr>
              <w:t xml:space="preserve">Task</w:t>
            </w:r>
          </w:p>
        </w:tc>
        <w:tc>
          <w:tcPr>
            <w:tcW w:type="dxa" w:w="6226"/>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22"/>
                <w:szCs w:val="22"/>
              </w:rPr>
              <w:t xml:space="preserve">Task 1 — Create a Digital Literacy Awareness Infographic</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3a"/>
                <w:sz w:val="22"/>
                <w:szCs w:val="22"/>
              </w:rPr>
              <w:t xml:space="preserve">Module</w:t>
            </w:r>
          </w:p>
        </w:tc>
        <w:tc>
          <w:tcPr>
            <w:tcW w:type="dxa" w:w="6226"/>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22"/>
                <w:szCs w:val="22"/>
              </w:rPr>
              <w:t xml:space="preserve">Module 1</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3a"/>
                <w:sz w:val="22"/>
                <w:szCs w:val="22"/>
              </w:rPr>
              <w:t xml:space="preserve">Marks</w:t>
            </w:r>
          </w:p>
        </w:tc>
        <w:tc>
          <w:tcPr>
            <w:tcW w:type="dxa" w:w="6226"/>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22"/>
                <w:szCs w:val="22"/>
              </w:rPr>
              <w:t xml:space="preserve">20 marks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3a"/>
                <w:sz w:val="22"/>
                <w:szCs w:val="22"/>
              </w:rPr>
              <w:t xml:space="preserve">Tool Used</w:t>
            </w:r>
          </w:p>
        </w:tc>
        <w:tc>
          <w:tcPr>
            <w:tcW w:type="dxa" w:w="6226"/>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22"/>
                <w:szCs w:val="22"/>
              </w:rPr>
              <w:t xml:space="preserve">Canva (canva.com)</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3a"/>
                <w:sz w:val="22"/>
                <w:szCs w:val="22"/>
              </w:rPr>
              <w:t xml:space="preserve">Date</w:t>
            </w:r>
          </w:p>
        </w:tc>
        <w:tc>
          <w:tcPr>
            <w:tcW w:type="dxa" w:w="6226"/>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22"/>
                <w:szCs w:val="22"/>
              </w:rPr>
              <w:t xml:space="preserve">March 2026</w:t>
            </w:r>
          </w:p>
        </w:tc>
      </w:tr>
    </w:tbl>
    <w:p>
      <w:pPr>
        <w:spacing w:before="300"/>
      </w:pPr>
    </w:p>
    <w:p>
      <w:pPr>
        <w:pStyle w:val="Heading1"/>
      </w:pPr>
      <w:r>
        <w:rPr>
          <w:rFonts w:ascii="Arial" w:cs="Arial" w:eastAsia="Arial" w:hAnsi="Arial"/>
          <w:b/>
          <w:bCs/>
          <w:color w:val="1a6b3a"/>
          <w:sz w:val="30"/>
          <w:szCs w:val="30"/>
        </w:rPr>
        <w:t xml:space="preserve">1. Overview</w:t>
      </w:r>
    </w:p>
    <w:p>
      <w:pPr>
        <w:pBdr>
          <w:bottom w:val="single" w:color="2E8B4A" w:sz="4" w:space="1"/>
        </w:pBdr>
        <w:spacing w:before="160" w:after="160"/>
      </w:pPr>
    </w:p>
    <w:p>
      <w:pPr>
        <w:spacing w:before="80" w:after="100"/>
      </w:pPr>
      <w:r>
        <w:rPr>
          <w:rFonts w:ascii="Arial" w:cs="Arial" w:eastAsia="Arial" w:hAnsi="Arial"/>
          <w:sz w:val="24"/>
          <w:szCs w:val="24"/>
        </w:rPr>
        <w:t xml:space="preserve">For Task 1 of the Digital Literacy project, I was required to create a one-page visual infographic that helps my batchmates understand what Digital Literacy means and why it matters. As a Student Digital Ambassador, the goal was to produce a resource that is informative, visually engaging, and easy to understand for first-year B.Tech students.</w:t>
      </w:r>
    </w:p>
    <w:p>
      <w:pPr>
        <w:spacing w:before="160"/>
      </w:pPr>
    </w:p>
    <w:p>
      <w:pPr>
        <w:pStyle w:val="Heading1"/>
      </w:pPr>
      <w:r>
        <w:rPr>
          <w:rFonts w:ascii="Arial" w:cs="Arial" w:eastAsia="Arial" w:hAnsi="Arial"/>
          <w:b/>
          <w:bCs/>
          <w:color w:val="1a6b3a"/>
          <w:sz w:val="30"/>
          <w:szCs w:val="30"/>
        </w:rPr>
        <w:t xml:space="preserve">2. Tool used</w:t>
      </w:r>
    </w:p>
    <w:p>
      <w:pPr>
        <w:pBdr>
          <w:bottom w:val="single" w:color="2E8B4A" w:sz="4" w:space="1"/>
        </w:pBdr>
        <w:spacing w:before="160" w:after="160"/>
      </w:pPr>
    </w:p>
    <w:p>
      <w:pPr>
        <w:spacing w:before="80" w:after="100"/>
      </w:pPr>
      <w:r>
        <w:rPr>
          <w:rFonts w:ascii="Arial" w:cs="Arial" w:eastAsia="Arial" w:hAnsi="Arial"/>
          <w:sz w:val="24"/>
          <w:szCs w:val="24"/>
        </w:rPr>
        <w:t xml:space="preserve">I used Canva (canva.com) to design the infographic. Canva is a free, browser-based design tool that offers a wide range of professionally designed templates, icons, and layout options. No prior design experience or software installation is required, making it ideal for students.</w:t>
      </w:r>
    </w:p>
    <w:p>
      <w:pPr>
        <w:spacing w:before="80" w:after="100"/>
      </w:pPr>
      <w:r>
        <w:rPr>
          <w:rFonts w:ascii="Arial" w:cs="Arial" w:eastAsia="Arial" w:hAnsi="Arial"/>
          <w:sz w:val="24"/>
          <w:szCs w:val="24"/>
        </w:rPr>
        <w:t xml:space="preserve">The platform allowed me to select a clean infographic template, customise the colour scheme to green and white, and arrange all content in a structured, readable layout. The final design was exported as a PNG image for submission.</w:t>
      </w:r>
    </w:p>
    <w:p>
      <w:pPr>
        <w:spacing w:before="160"/>
      </w:pPr>
    </w:p>
    <w:p>
      <w:pPr>
        <w:pStyle w:val="Heading1"/>
      </w:pPr>
      <w:r>
        <w:rPr>
          <w:rFonts w:ascii="Arial" w:cs="Arial" w:eastAsia="Arial" w:hAnsi="Arial"/>
          <w:b/>
          <w:bCs/>
          <w:color w:val="1a6b3a"/>
          <w:sz w:val="30"/>
          <w:szCs w:val="30"/>
        </w:rPr>
        <w:t xml:space="preserve">3. What the infographic covers</w:t>
      </w:r>
    </w:p>
    <w:p>
      <w:pPr>
        <w:pBdr>
          <w:bottom w:val="single" w:color="2E8B4A" w:sz="4" w:space="1"/>
        </w:pBdr>
        <w:spacing w:before="160" w:after="160"/>
      </w:pPr>
    </w:p>
    <w:p>
      <w:pPr>
        <w:spacing w:before="80" w:after="100"/>
      </w:pPr>
      <w:r>
        <w:rPr>
          <w:rFonts w:ascii="Arial" w:cs="Arial" w:eastAsia="Arial" w:hAnsi="Arial"/>
          <w:sz w:val="24"/>
          <w:szCs w:val="24"/>
        </w:rPr>
        <w:t xml:space="preserve">The infographic is titled "Your Guide to the Digital World" and is divided into three main sections, each covering a key topic from Module 1:</w:t>
      </w:r>
    </w:p>
    <w:p>
      <w:pPr>
        <w:spacing w:before="80"/>
      </w:pPr>
    </w:p>
    <w:p>
      <w:pPr>
        <w:pStyle w:val="Heading2"/>
      </w:pPr>
      <w:r>
        <w:rPr>
          <w:rFonts w:ascii="Arial" w:cs="Arial" w:eastAsia="Arial" w:hAnsi="Arial"/>
          <w:b/>
          <w:bCs/>
          <w:color w:val="2E8B4A"/>
          <w:sz w:val="26"/>
          <w:szCs w:val="26"/>
        </w:rPr>
        <w:t xml:space="preserve">Section 1 — What is digital literacy?</w:t>
      </w:r>
    </w:p>
    <w:p>
      <w:pPr>
        <w:spacing w:before="80" w:after="100"/>
      </w:pPr>
      <w:r>
        <w:rPr>
          <w:rFonts w:ascii="Arial" w:cs="Arial" w:eastAsia="Arial" w:hAnsi="Arial"/>
          <w:sz w:val="24"/>
          <w:szCs w:val="24"/>
        </w:rPr>
        <w:t xml:space="preserve">This section defines digital literacy in simple, student-friendly language. It explains that digital literacy is not just about knowing how to use a phone or laptop, but about being able to find, evaluate, create, and communicate information using digital tools. It also highlights that digital literacy includes protecting your data, collaborating online, and using technology ethically and responsibly.</w:t>
      </w:r>
    </w:p>
    <w:p>
      <w:pPr>
        <w:pStyle w:val="Heading2"/>
      </w:pPr>
      <w:r>
        <w:rPr>
          <w:rFonts w:ascii="Arial" w:cs="Arial" w:eastAsia="Arial" w:hAnsi="Arial"/>
          <w:b/>
          <w:bCs/>
          <w:color w:val="2E8B4A"/>
          <w:sz w:val="26"/>
          <w:szCs w:val="26"/>
        </w:rPr>
        <w:t xml:space="preserve">Section 2 — Professional online presence</w:t>
      </w:r>
    </w:p>
    <w:p>
      <w:pPr>
        <w:spacing w:before="80" w:after="100"/>
      </w:pPr>
      <w:r>
        <w:rPr>
          <w:rFonts w:ascii="Arial" w:cs="Arial" w:eastAsia="Arial" w:hAnsi="Arial"/>
          <w:sz w:val="24"/>
          <w:szCs w:val="24"/>
        </w:rPr>
        <w:t xml:space="preserve">This section emphasises why building a professional digital identity matters from Year 1 of B.Tech. Key points include:</w:t>
      </w:r>
    </w:p>
    <w:p>
      <w:pPr>
        <w:pStyle w:val="ListParagraph"/>
        <w:numPr>
          <w:ilvl w:val="0"/>
          <w:numId w:val="2"/>
        </w:numPr>
        <w:spacing w:before="60" w:after="60"/>
      </w:pPr>
      <w:r>
        <w:rPr>
          <w:rFonts w:ascii="Arial" w:cs="Arial" w:eastAsia="Arial" w:hAnsi="Arial"/>
          <w:sz w:val="24"/>
          <w:szCs w:val="24"/>
        </w:rPr>
        <w:t xml:space="preserve">Employers check your online profiles before your resume</w:t>
      </w:r>
    </w:p>
    <w:p>
      <w:pPr>
        <w:pStyle w:val="ListParagraph"/>
        <w:numPr>
          <w:ilvl w:val="0"/>
          <w:numId w:val="2"/>
        </w:numPr>
        <w:spacing w:before="60" w:after="60"/>
      </w:pPr>
      <w:r>
        <w:rPr>
          <w:rFonts w:ascii="Arial" w:cs="Arial" w:eastAsia="Arial" w:hAnsi="Arial"/>
          <w:sz w:val="24"/>
          <w:szCs w:val="24"/>
        </w:rPr>
        <w:t xml:space="preserve">Profiles should be consistent, professional, and updated regularly</w:t>
      </w:r>
    </w:p>
    <w:p>
      <w:pPr>
        <w:pStyle w:val="ListParagraph"/>
        <w:numPr>
          <w:ilvl w:val="0"/>
          <w:numId w:val="2"/>
        </w:numPr>
        <w:spacing w:before="60" w:after="60"/>
      </w:pPr>
      <w:r>
        <w:rPr>
          <w:rFonts w:ascii="Arial" w:cs="Arial" w:eastAsia="Arial" w:hAnsi="Arial"/>
          <w:sz w:val="24"/>
          <w:szCs w:val="24"/>
        </w:rPr>
        <w:t xml:space="preserve">GitHub, LinkedIn, and Kaggle form the core student digital portfolio</w:t>
      </w:r>
    </w:p>
    <w:p>
      <w:pPr>
        <w:pStyle w:val="ListParagraph"/>
        <w:numPr>
          <w:ilvl w:val="0"/>
          <w:numId w:val="2"/>
        </w:numPr>
        <w:spacing w:before="60" w:after="60"/>
      </w:pPr>
      <w:r>
        <w:rPr>
          <w:rFonts w:ascii="Arial" w:cs="Arial" w:eastAsia="Arial" w:hAnsi="Arial"/>
          <w:sz w:val="24"/>
          <w:szCs w:val="24"/>
        </w:rPr>
        <w:t xml:space="preserve">College email should be used for all platform sign-ups</w:t>
      </w:r>
    </w:p>
    <w:p>
      <w:pPr>
        <w:pStyle w:val="Heading2"/>
      </w:pPr>
      <w:r>
        <w:rPr>
          <w:rFonts w:ascii="Arial" w:cs="Arial" w:eastAsia="Arial" w:hAnsi="Arial"/>
          <w:b/>
          <w:bCs/>
          <w:color w:val="2E8B4A"/>
          <w:sz w:val="26"/>
          <w:szCs w:val="26"/>
        </w:rPr>
        <w:t xml:space="preserve">Section 3 — Useful digital tools for students</w:t>
      </w:r>
    </w:p>
    <w:p>
      <w:pPr>
        <w:spacing w:before="80" w:after="100"/>
      </w:pPr>
      <w:r>
        <w:rPr>
          <w:rFonts w:ascii="Arial" w:cs="Arial" w:eastAsia="Arial" w:hAnsi="Arial"/>
          <w:sz w:val="24"/>
          <w:szCs w:val="24"/>
        </w:rPr>
        <w:t xml:space="preserve">This section showcases six essential free tools with a brief description of each:</w:t>
      </w:r>
    </w:p>
    <w:p>
      <w:pPr>
        <w:pStyle w:val="ListParagraph"/>
        <w:numPr>
          <w:ilvl w:val="0"/>
          <w:numId w:val="2"/>
        </w:numPr>
        <w:spacing w:before="60" w:after="60"/>
      </w:pPr>
      <w:r>
        <w:rPr>
          <w:rFonts w:ascii="Arial" w:cs="Arial" w:eastAsia="Arial" w:hAnsi="Arial"/>
          <w:sz w:val="24"/>
          <w:szCs w:val="24"/>
        </w:rPr>
        <w:t xml:space="preserve">GitHub — Store code, build portfolio, collaborate on projects</w:t>
      </w:r>
    </w:p>
    <w:p>
      <w:pPr>
        <w:pStyle w:val="ListParagraph"/>
        <w:numPr>
          <w:ilvl w:val="0"/>
          <w:numId w:val="2"/>
        </w:numPr>
        <w:spacing w:before="60" w:after="60"/>
      </w:pPr>
      <w:r>
        <w:rPr>
          <w:rFonts w:ascii="Arial" w:cs="Arial" w:eastAsia="Arial" w:hAnsi="Arial"/>
          <w:sz w:val="24"/>
          <w:szCs w:val="24"/>
        </w:rPr>
        <w:t xml:space="preserve">LinkedIn — Professional network, internships, job discovery</w:t>
      </w:r>
    </w:p>
    <w:p>
      <w:pPr>
        <w:pStyle w:val="ListParagraph"/>
        <w:numPr>
          <w:ilvl w:val="0"/>
          <w:numId w:val="2"/>
        </w:numPr>
        <w:spacing w:before="60" w:after="60"/>
      </w:pPr>
      <w:r>
        <w:rPr>
          <w:rFonts w:ascii="Arial" w:cs="Arial" w:eastAsia="Arial" w:hAnsi="Arial"/>
          <w:sz w:val="24"/>
          <w:szCs w:val="24"/>
        </w:rPr>
        <w:t xml:space="preserve">Kaggle — Data science practice, datasets, competitions</w:t>
      </w:r>
    </w:p>
    <w:p>
      <w:pPr>
        <w:pStyle w:val="ListParagraph"/>
        <w:numPr>
          <w:ilvl w:val="0"/>
          <w:numId w:val="2"/>
        </w:numPr>
        <w:spacing w:before="60" w:after="60"/>
      </w:pPr>
      <w:r>
        <w:rPr>
          <w:rFonts w:ascii="Arial" w:cs="Arial" w:eastAsia="Arial" w:hAnsi="Arial"/>
          <w:sz w:val="24"/>
          <w:szCs w:val="24"/>
        </w:rPr>
        <w:t xml:space="preserve">HackerRank — Coding challenges and skill certifications</w:t>
      </w:r>
    </w:p>
    <w:p>
      <w:pPr>
        <w:pStyle w:val="ListParagraph"/>
        <w:numPr>
          <w:ilvl w:val="0"/>
          <w:numId w:val="2"/>
        </w:numPr>
        <w:spacing w:before="60" w:after="60"/>
      </w:pPr>
      <w:r>
        <w:rPr>
          <w:rFonts w:ascii="Arial" w:cs="Arial" w:eastAsia="Arial" w:hAnsi="Arial"/>
          <w:sz w:val="24"/>
          <w:szCs w:val="24"/>
        </w:rPr>
        <w:t xml:space="preserve">Canva — Design infographics, presentations, and posters</w:t>
      </w:r>
    </w:p>
    <w:p>
      <w:pPr>
        <w:pStyle w:val="ListParagraph"/>
        <w:numPr>
          <w:ilvl w:val="0"/>
          <w:numId w:val="2"/>
        </w:numPr>
        <w:spacing w:before="60" w:after="60"/>
      </w:pPr>
      <w:r>
        <w:rPr>
          <w:rFonts w:ascii="Arial" w:cs="Arial" w:eastAsia="Arial" w:hAnsi="Arial"/>
          <w:sz w:val="24"/>
          <w:szCs w:val="24"/>
        </w:rPr>
        <w:t xml:space="preserve">Google Workspace — Docs, Sheets, Forms, Drive for cloud collaboration</w:t>
      </w:r>
    </w:p>
    <w:p>
      <w:pPr>
        <w:spacing w:before="160"/>
      </w:pPr>
    </w:p>
    <w:p>
      <w:pPr>
        <w:pStyle w:val="Heading1"/>
      </w:pPr>
      <w:r>
        <w:rPr>
          <w:rFonts w:ascii="Arial" w:cs="Arial" w:eastAsia="Arial" w:hAnsi="Arial"/>
          <w:b/>
          <w:bCs/>
          <w:color w:val="1a6b3a"/>
          <w:sz w:val="30"/>
          <w:szCs w:val="30"/>
        </w:rPr>
        <w:t xml:space="preserve">4. Reflection</w:t>
      </w:r>
    </w:p>
    <w:p>
      <w:pPr>
        <w:pBdr>
          <w:bottom w:val="single" w:color="2E8B4A" w:sz="4" w:space="1"/>
        </w:pBdr>
        <w:spacing w:before="160" w:after="160"/>
      </w:pPr>
    </w:p>
    <w:p>
      <w:pPr>
        <w:spacing w:before="80" w:after="100"/>
      </w:pPr>
      <w:r>
        <w:rPr>
          <w:rFonts w:ascii="Arial" w:cs="Arial" w:eastAsia="Arial" w:hAnsi="Arial"/>
          <w:sz w:val="24"/>
          <w:szCs w:val="24"/>
        </w:rPr>
        <w:t xml:space="preserve">One thing I found particularly interesting while creating this infographic was realising how interconnected all the topics of digital literacy truly are. Building a professional online presence, using the right digital tools, communicating responsibly, and staying safe online are not separate skills — they are all part of the same broader ability to navigate and thrive in the digital world.</w:t>
      </w:r>
    </w:p>
    <w:p>
      <w:pPr>
        <w:spacing w:before="80" w:after="100"/>
      </w:pPr>
      <w:r>
        <w:rPr>
          <w:rFonts w:ascii="Arial" w:cs="Arial" w:eastAsia="Arial" w:hAnsi="Arial"/>
          <w:sz w:val="24"/>
          <w:szCs w:val="24"/>
        </w:rPr>
        <w:t xml:space="preserve">I also found it challenging to keep the content concise. There is a lot of important information to share about digital literacy, and fitting it into one clear, readable page required me to prioritise the most essential points. This taught me that good design is as much about what you leave out as what you include.</w:t>
      </w:r>
    </w:p>
    <w:p>
      <w:pPr>
        <w:spacing w:before="80" w:after="100"/>
      </w:pPr>
      <w:r>
        <w:rPr>
          <w:rFonts w:ascii="Arial" w:cs="Arial" w:eastAsia="Arial" w:hAnsi="Arial"/>
          <w:sz w:val="24"/>
          <w:szCs w:val="24"/>
        </w:rPr>
        <w:t xml:space="preserve">Overall, creating this infographic gave me a much clearer understanding of what digital literacy means in practice, and how the tools and habits I develop in Year 1 will shape my academic and professional journey over the next four years.</w:t>
      </w:r>
    </w:p>
    <w:p>
      <w:pPr>
        <w:spacing w:before="200"/>
      </w:pPr>
    </w:p>
    <w:p>
      <w:pPr>
        <w:pBdr>
          <w:bottom w:val="single" w:color="2E8B4A" w:sz="4" w:space="1"/>
        </w:pBdr>
        <w:spacing w:before="160" w:after="160"/>
      </w:pPr>
    </w:p>
    <w:p>
      <w:pPr>
        <w:spacing w:before="120"/>
        <w:jc w:val="center"/>
      </w:pPr>
      <w:r>
        <w:rPr>
          <w:rFonts w:ascii="Arial" w:cs="Arial" w:eastAsia="Arial" w:hAnsi="Arial"/>
          <w:i/>
          <w:iCs/>
          <w:color w:val="888888"/>
          <w:sz w:val="20"/>
          <w:szCs w:val="20"/>
        </w:rPr>
        <w:t xml:space="preserve">End of Task 1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1a6b3a"/>
      <w:sz w:val="30"/>
      <w:szCs w:val="30"/>
    </w:rPr>
  </w:style>
  <w:style w:type="paragraph" w:styleId="Heading2">
    <w:name w:val="Heading 2"/>
    <w:basedOn w:val="Normal"/>
    <w:next w:val="Normal"/>
    <w:qFormat/>
    <w:pPr>
      <w:spacing w:before="200" w:after="80"/>
      <w:outlineLvl w:val="1"/>
    </w:pPr>
    <w:rPr>
      <w:rFonts w:ascii="Arial" w:cs="Arial" w:eastAsia="Arial" w:hAnsi="Arial"/>
      <w:b/>
      <w:bCs/>
      <w:color w:val="2E8B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2026-03-20T17:20:16.302Z</dcterms:created>
  <dcterms:modified xsi:type="dcterms:W3CDTF">2026-03-20T17:20:16.303Z</dcterms:modified>
</cp:coreProperties>
</file>

<file path=docProps/custom.xml><?xml version="1.0" encoding="utf-8"?>
<Properties xmlns="http://schemas.openxmlformats.org/officeDocument/2006/custom-properties" xmlns:vt="http://schemas.openxmlformats.org/officeDocument/2006/docPropsVTypes"/>
</file>