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Times New Roman" w:cs="Times New Roman"/>
          <w:b/>
          <w:color w:val="000000"/>
          <w:sz w:val="28"/>
          <w:u w:val="none"/>
        </w:rPr>
        <w:t>Практическое руководство по локальному API</w:t>
      </w:r>
    </w:p>
    <w:p>
      <w:pPr>
        <w:pStyle w:val="GOSTCoverMetadata"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>Дата редакции: 11 октября 2026 года</w:t>
      </w:r>
    </w:p>
    <w:p>
      <w:pPr>
        <w:pStyle w:val="GOSTCoverMetadata"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>Статус: редактируемый комплект сопроводительных материалов проекта</w:t>
      </w:r>
    </w:p>
    <w:p>
      <w:pPr>
        <w:pStyle w:val="GOSTCoverMetadata"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>Содержание включает текущие и исторические документы; исходные даты и статусы сохранены.</w:t>
      </w:r>
    </w:p>
    <w:p>
      <w:pPr>
        <w:sectPr>
          <w:footerReference w:type="default" r:id="rId9"/>
          <w:headerReference w:type="default" r:id="rId20"/>
          <w:pgSz w:w="11906" w:h="16838"/>
          <w:pgMar w:top="1134" w:right="850" w:bottom="1134" w:left="1701" w:header="720" w:footer="567" w:gutter="0"/>
          <w:cols w:space="720"/>
          <w:docGrid w:linePitch="360"/>
        </w:sectPr>
      </w:pPr>
    </w:p>
    <w:p>
      <w:pPr>
        <w:pStyle w:val="Heading1"/>
      </w:pPr>
      <w:bookmarkStart w:id="1" w:name="doc_18"/>
      <w:r>
        <w:rPr>
          <w:rFonts w:ascii="Times New Roman" w:hAnsi="Times New Roman" w:eastAsia="Times New Roman" w:cs="Times New Roman"/>
          <w:color w:val="000000"/>
          <w:u w:val="none"/>
        </w:rPr>
        <w:t>18. Практическое руководство по локальному API</w:t>
      </w:r>
      <w:bookmarkEnd w:id="1"/>
    </w:p>
    <w:p>
      <w:r>
        <w:rPr>
          <w:rFonts w:ascii="Times New Roman" w:hAnsi="Times New Roman" w:eastAsia="Times New Roman" w:cs="Times New Roman"/>
          <w:color w:val="000000"/>
          <w:u w:val="none"/>
        </w:rPr>
        <w:t xml:space="preserve">Версия сервиса: </w:t>
      </w:r>
      <w:r>
        <w:rPr>
          <w:rFonts w:ascii="Times New Roman" w:hAnsi="Times New Roman" w:eastAsia="Times New Roman" w:cs="Times New Roman"/>
          <w:b/>
          <w:color w:val="000000"/>
          <w:u w:val="none"/>
        </w:rPr>
        <w:t>0.4.0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сверка 11 октября 2026. Рабочая копия NAS: </w:t>
      </w:r>
      <w:r>
        <w:rPr>
          <w:rFonts w:ascii="Times New Roman" w:hAnsi="Times New Roman" w:eastAsia="Times New Roman" w:cs="Times New Roman"/>
          <w:color w:val="000000"/>
          <w:u w:val="none"/>
        </w:rPr>
        <w:t>/Volume1/projects/Fsp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. Это API конкурсного продукта на синтетических данных. В контракте </w:t>
      </w:r>
      <w:r>
        <w:rPr>
          <w:rFonts w:ascii="Times New Roman" w:hAnsi="Times New Roman" w:eastAsia="Times New Roman" w:cs="Times New Roman"/>
          <w:b/>
          <w:color w:val="000000"/>
          <w:u w:val="none"/>
        </w:rPr>
        <w:t>88 путей и 101 операция</w:t>
      </w:r>
      <w:r>
        <w:rPr>
          <w:rFonts w:ascii="Times New Roman" w:hAnsi="Times New Roman" w:eastAsia="Times New Roman" w:cs="Times New Roman"/>
          <w:color w:val="000000"/>
          <w:u w:val="none"/>
        </w:rPr>
        <w:t>: несколько путей имеют разные методы. Официальный API ФСП этим документом не описывается.</w:t>
      </w:r>
    </w:p>
    <w:p>
      <w:pPr>
        <w:pStyle w:val="Heading2"/>
      </w:pPr>
      <w:r>
        <w:rPr>
          <w:rFonts w:ascii="Times New Roman" w:hAnsi="Times New Roman" w:eastAsia="Times New Roman" w:cs="Times New Roman"/>
          <w:color w:val="000000"/>
          <w:u w:val="none"/>
        </w:rPr>
        <w:t>1. Где находится контракт</w:t>
      </w:r>
    </w:p>
    <w:p>
      <w:pPr>
        <w:pStyle w:val="GOSTList"/>
        <w:ind w:left="709"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• 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Базовый адрес на NAS: </w:t>
      </w:r>
      <w:r>
        <w:rPr>
          <w:rFonts w:ascii="Times New Roman" w:hAnsi="Times New Roman" w:eastAsia="Times New Roman" w:cs="Times New Roman"/>
          <w:color w:val="000000"/>
          <w:u w:val="none"/>
        </w:rPr>
        <w:t>http://127.0.0.1:8470</w:t>
      </w:r>
      <w:r>
        <w:rPr>
          <w:rFonts w:ascii="Times New Roman" w:hAnsi="Times New Roman" w:eastAsia="Times New Roman" w:cs="Times New Roman"/>
          <w:color w:val="000000"/>
          <w:u w:val="none"/>
        </w:rPr>
        <w:t>.</w:t>
      </w:r>
    </w:p>
    <w:p>
      <w:pPr>
        <w:pStyle w:val="GOSTList"/>
        <w:ind w:left="709"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• 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Читаемая страница локального API: </w:t>
      </w:r>
      <w:r>
        <w:rPr>
          <w:rFonts w:ascii="Times New Roman" w:hAnsi="Times New Roman" w:eastAsia="Times New Roman" w:cs="Times New Roman"/>
          <w:color w:val="000000"/>
          <w:u w:val="none"/>
        </w:rPr>
        <w:t>/api/docs</w:t>
      </w:r>
      <w:r>
        <w:rPr>
          <w:rFonts w:ascii="Times New Roman" w:hAnsi="Times New Roman" w:eastAsia="Times New Roman" w:cs="Times New Roman"/>
          <w:color w:val="000000"/>
          <w:u w:val="none"/>
        </w:rPr>
        <w:t>.</w:t>
      </w:r>
    </w:p>
    <w:p>
      <w:pPr>
        <w:pStyle w:val="GOSTList"/>
        <w:ind w:left="709"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• 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Машинный контракт: </w:t>
      </w:r>
      <w:r>
        <w:rPr>
          <w:rFonts w:ascii="Times New Roman" w:hAnsi="Times New Roman" w:eastAsia="Times New Roman" w:cs="Times New Roman"/>
          <w:color w:val="000000"/>
          <w:u w:val="none"/>
        </w:rPr>
        <w:t>/api/openapi.json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сохранённая копия — </w:t>
      </w:r>
      <w:hyperlink r:id="rId11">
        <w:r>
          <w:rPr>
            <w:rFonts w:ascii="Times New Roman" w:hAnsi="Times New Roman" w:eastAsia="Times New Roman" w:cs="Times New Roman"/>
            <w:color w:val="000000"/>
            <w:u w:val="none"/>
          </w:rPr>
          <w:t xml:space="preserve">contracts/openapi.yaml</w:t>
        </w:r>
      </w:hyperlink>
      <w:r>
        <w:rPr>
          <w:rFonts w:ascii="Times New Roman" w:hAnsi="Times New Roman" w:eastAsia="Times New Roman" w:cs="Times New Roman"/>
          <w:color w:val="000000"/>
          <w:u w:val="none"/>
        </w:rPr>
        <w:t>.</w:t>
      </w:r>
    </w:p>
    <w:p>
      <w:pPr>
        <w:pStyle w:val="GOSTList"/>
        <w:ind w:left="709"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• 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Все точные поля, обязательность, значения по умолчанию, enum и пределы — </w:t>
      </w:r>
      <w:r>
        <w:rPr>
          <w:rFonts w:ascii="Times New Roman" w:hAnsi="Times New Roman" w:eastAsia="Times New Roman" w:cs="Times New Roman"/>
          <w:color w:val="000000"/>
          <w:u w:val="none"/>
        </w:rPr>
        <w:t>components.schemas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этого контракта. В справочнике ниже приведены имена схем.</w:t>
      </w:r>
    </w:p>
    <w:p>
      <w:pPr>
        <w:pStyle w:val="GOSTList"/>
        <w:ind w:left="709"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• 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Готовые запросы с placeholders — </w:t>
      </w:r>
      <w:hyperlink r:id="rId12">
        <w:r>
          <w:rPr>
            <w:rFonts w:ascii="Times New Roman" w:hAnsi="Times New Roman" w:eastAsia="Times New Roman" w:cs="Times New Roman"/>
            <w:color w:val="000000"/>
            <w:u w:val="none"/>
          </w:rPr>
          <w:t xml:space="preserve">api-examples.http</w:t>
        </w:r>
      </w:hyperlink>
      <w:r>
        <w:rPr>
          <w:rFonts w:ascii="Times New Roman" w:hAnsi="Times New Roman" w:eastAsia="Times New Roman" w:cs="Times New Roman"/>
          <w:color w:val="000000"/>
          <w:u w:val="none"/>
        </w:rPr>
        <w:t>. Они выполняются по отдельности: сначала вход, затем подстановка полученных ID и revision. Автоматическое выполнение всего файла не предполагается.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 xml:space="preserve">Открытие с другого компьютера через согласованный SSH-туннель и Docker-команды запуска описаны в </w:t>
      </w:r>
      <w:hyperlink r:id="rId13">
        <w:r>
          <w:rPr>
            <w:rFonts w:ascii="Times New Roman" w:hAnsi="Times New Roman" w:eastAsia="Times New Roman" w:cs="Times New Roman"/>
            <w:color w:val="000000"/>
            <w:u w:val="none"/>
          </w:rPr>
          <w:t xml:space="preserve">README</w:t>
        </w:r>
      </w:hyperlink>
      <w:r>
        <w:rPr>
          <w:rFonts w:ascii="Times New Roman" w:hAnsi="Times New Roman" w:eastAsia="Times New Roman" w:cs="Times New Roman"/>
          <w:color w:val="000000"/>
          <w:u w:val="none"/>
        </w:rPr>
        <w:t xml:space="preserve"> и </w:t>
      </w:r>
      <w:hyperlink r:id="rId14">
        <w:r>
          <w:rPr>
            <w:rFonts w:ascii="Times New Roman" w:hAnsi="Times New Roman" w:eastAsia="Times New Roman" w:cs="Times New Roman"/>
            <w:color w:val="000000"/>
            <w:u w:val="none"/>
          </w:rPr>
          <w:t xml:space="preserve">актуальное руководство</w:t>
        </w:r>
      </w:hyperlink>
      <w:r>
        <w:rPr>
          <w:rFonts w:ascii="Times New Roman" w:hAnsi="Times New Roman" w:eastAsia="Times New Roman" w:cs="Times New Roman"/>
          <w:color w:val="000000"/>
          <w:u w:val="none"/>
        </w:rPr>
        <w:t xml:space="preserve">. Заголовок </w:t>
      </w:r>
      <w:r>
        <w:rPr>
          <w:rFonts w:ascii="Times New Roman" w:hAnsi="Times New Roman" w:eastAsia="Times New Roman" w:cs="Times New Roman"/>
          <w:color w:val="000000"/>
          <w:u w:val="none"/>
        </w:rPr>
        <w:t>Host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допускает </w:t>
      </w:r>
      <w:r>
        <w:rPr>
          <w:rFonts w:ascii="Times New Roman" w:hAnsi="Times New Roman" w:eastAsia="Times New Roman" w:cs="Times New Roman"/>
          <w:color w:val="000000"/>
          <w:u w:val="none"/>
        </w:rPr>
        <w:t>127.0.0.1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localhost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внутренний </w:t>
      </w:r>
      <w:r>
        <w:rPr>
          <w:rFonts w:ascii="Times New Roman" w:hAnsi="Times New Roman" w:eastAsia="Times New Roman" w:cs="Times New Roman"/>
          <w:color w:val="000000"/>
          <w:u w:val="none"/>
        </w:rPr>
        <w:t>app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и тестовый </w:t>
      </w:r>
      <w:r>
        <w:rPr>
          <w:rFonts w:ascii="Times New Roman" w:hAnsi="Times New Roman" w:eastAsia="Times New Roman" w:cs="Times New Roman"/>
          <w:color w:val="000000"/>
          <w:u w:val="none"/>
        </w:rPr>
        <w:t>testserver</w:t>
      </w:r>
      <w:r>
        <w:rPr>
          <w:rFonts w:ascii="Times New Roman" w:hAnsi="Times New Roman" w:eastAsia="Times New Roman" w:cs="Times New Roman"/>
          <w:color w:val="000000"/>
          <w:u w:val="none"/>
        </w:rPr>
        <w:t>. Прямое обращение по произвольному hostname не настроено.</w:t>
      </w:r>
    </w:p>
    <w:p>
      <w:pPr>
        <w:pStyle w:val="Heading2"/>
      </w:pPr>
      <w:r>
        <w:rPr>
          <w:rFonts w:ascii="Times New Roman" w:hAnsi="Times New Roman" w:eastAsia="Times New Roman" w:cs="Times New Roman"/>
          <w:color w:val="000000"/>
          <w:u w:val="none"/>
        </w:rPr>
        <w:t>2. Сессия, роли и безопасные примеры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 xml:space="preserve">Пользовательская авторизация — cookie </w:t>
      </w:r>
      <w:r>
        <w:rPr>
          <w:rFonts w:ascii="Times New Roman" w:hAnsi="Times New Roman" w:eastAsia="Times New Roman" w:cs="Times New Roman"/>
          <w:color w:val="000000"/>
          <w:u w:val="none"/>
        </w:rPr>
        <w:t>fsp_session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HttpOnly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SameSite=Strict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Path=/api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срок 8 часов. Вход и подтверждение возвращают </w:t>
      </w:r>
      <w:r>
        <w:rPr>
          <w:rFonts w:ascii="Times New Roman" w:hAnsi="Times New Roman" w:eastAsia="Times New Roman" w:cs="Times New Roman"/>
          <w:color w:val="000000"/>
          <w:u w:val="none"/>
        </w:rPr>
        <w:t>SessionView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: </w:t>
      </w:r>
      <w:r>
        <w:rPr>
          <w:rFonts w:ascii="Times New Roman" w:hAnsi="Times New Roman" w:eastAsia="Times New Roman" w:cs="Times New Roman"/>
          <w:color w:val="000000"/>
          <w:u w:val="none"/>
        </w:rPr>
        <w:t>id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role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label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csrf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demo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; </w:t>
      </w:r>
      <w:r>
        <w:rPr>
          <w:rFonts w:ascii="Times New Roman" w:hAnsi="Times New Roman" w:eastAsia="Times New Roman" w:cs="Times New Roman"/>
          <w:color w:val="000000"/>
          <w:u w:val="none"/>
        </w:rPr>
        <w:t>/api/v1/me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дополнительно возвращает </w:t>
      </w:r>
      <w:r>
        <w:rPr>
          <w:rFonts w:ascii="Times New Roman" w:hAnsi="Times New Roman" w:eastAsia="Times New Roman" w:cs="Times New Roman"/>
          <w:color w:val="000000"/>
          <w:u w:val="none"/>
        </w:rPr>
        <w:t>email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. Cookie передаётся клиентом, токен </w:t>
      </w:r>
      <w:r>
        <w:rPr>
          <w:rFonts w:ascii="Times New Roman" w:hAnsi="Times New Roman" w:eastAsia="Times New Roman" w:cs="Times New Roman"/>
          <w:color w:val="000000"/>
          <w:u w:val="none"/>
        </w:rPr>
        <w:t>csrf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— заголовком </w:t>
      </w:r>
      <w:r>
        <w:rPr>
          <w:rFonts w:ascii="Times New Roman" w:hAnsi="Times New Roman" w:eastAsia="Times New Roman" w:cs="Times New Roman"/>
          <w:color w:val="000000"/>
          <w:u w:val="none"/>
        </w:rPr>
        <w:t>X-CSRF-Token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для пользовательских POST/PUT/PATCH/DELETE, включая logout. GET не требует CSRF. Получить текущий CSRF можно через </w:t>
      </w:r>
      <w:r>
        <w:rPr>
          <w:rFonts w:ascii="Times New Roman" w:hAnsi="Times New Roman" w:eastAsia="Times New Roman" w:cs="Times New Roman"/>
          <w:color w:val="000000"/>
          <w:u w:val="none"/>
        </w:rPr>
        <w:t>/api/v1/me</w:t>
      </w:r>
      <w:r>
        <w:rPr>
          <w:rFonts w:ascii="Times New Roman" w:hAnsi="Times New Roman" w:eastAsia="Times New Roman" w:cs="Times New Roman"/>
          <w:color w:val="000000"/>
          <w:u w:val="none"/>
        </w:rPr>
        <w:t>.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 xml:space="preserve">Кандидат и работодатель используют отдельные сессии. Роль проверяется сервером; ID в теле/URL не позволяет читать чужую попытку, банк, подборку или приглашение. Чужая и отсутствующая запись обычно дают одинаковый 404. Общие </w:t>
      </w:r>
      <w:r>
        <w:rPr>
          <w:rFonts w:ascii="Times New Roman" w:hAnsi="Times New Roman" w:eastAsia="Times New Roman" w:cs="Times New Roman"/>
          <w:color w:val="000000"/>
          <w:u w:val="none"/>
        </w:rPr>
        <w:t>/me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и logout доступны обеим ролям. Публичные auth-операции не требуют уже созданной сессии. Внутренний runner имеет отдельную Bearer-авторизацию, описанную ниже.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 xml:space="preserve">Изменяющий запрос с </w:t>
      </w:r>
      <w:r>
        <w:rPr>
          <w:rFonts w:ascii="Times New Roman" w:hAnsi="Times New Roman" w:eastAsia="Times New Roman" w:cs="Times New Roman"/>
          <w:color w:val="000000"/>
          <w:u w:val="none"/>
        </w:rPr>
        <w:t>Origin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принимается только от локальных origins </w:t>
      </w:r>
      <w:r>
        <w:rPr>
          <w:rFonts w:ascii="Times New Roman" w:hAnsi="Times New Roman" w:eastAsia="Times New Roman" w:cs="Times New Roman"/>
          <w:color w:val="000000"/>
          <w:u w:val="none"/>
        </w:rPr>
        <w:t>http://127.0.0.1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или </w:t>
      </w:r>
      <w:r>
        <w:rPr>
          <w:rFonts w:ascii="Times New Roman" w:hAnsi="Times New Roman" w:eastAsia="Times New Roman" w:cs="Times New Roman"/>
          <w:color w:val="000000"/>
          <w:u w:val="none"/>
        </w:rPr>
        <w:t>http://localhost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на портах 8470, 18080, 5173. Запрос curl без Origin допустим. CORS для произвольного внешнего сайта нет. Все POST </w:t>
      </w:r>
      <w:r>
        <w:rPr>
          <w:rFonts w:ascii="Times New Roman" w:hAnsi="Times New Roman" w:eastAsia="Times New Roman" w:cs="Times New Roman"/>
          <w:color w:val="000000"/>
          <w:u w:val="none"/>
        </w:rPr>
        <w:t>/api/v1/auth/*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ограничены 30 запросами за 60 секунд с одного IP в текущем процессе; превышение — 429 и </w:t>
      </w:r>
      <w:r>
        <w:rPr>
          <w:rFonts w:ascii="Times New Roman" w:hAnsi="Times New Roman" w:eastAsia="Times New Roman" w:cs="Times New Roman"/>
          <w:color w:val="000000"/>
          <w:u w:val="none"/>
        </w:rPr>
        <w:t>Retry-After: 60</w:t>
      </w:r>
      <w:r>
        <w:rPr>
          <w:rFonts w:ascii="Times New Roman" w:hAnsi="Times New Roman" w:eastAsia="Times New Roman" w:cs="Times New Roman"/>
          <w:color w:val="000000"/>
          <w:u w:val="none"/>
        </w:rPr>
        <w:t>.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>Для первого просмотра достаточно публичного GET и входа в существующий seed:</w:t>
      </w:r>
    </w:p>
    <w:p>
      <w:pPr>
        <w:pStyle w:val="GOSTCode"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>curl --fail-with-body http://127.0.0.1:8470/api/health</w:t>
        <w:br/>
        <w:t>curl --fail-with-body http://127.0.0.1:8470/api/v1/auth/demo-accounts</w:t>
        <w:br/>
        <w:t># Cookie-файл хранится локально вне проекта. Не коммитьте его или ответ входа.</w:t>
        <w:br/>
        <w:t>umask 077</w:t>
        <w:br/>
        <w:t>curl --fail-with-body -c /tmp/fsp-candidate.cookies -o /tmp/fsp-candidate-login.json \</w:t>
        <w:br/>
        <w:t xml:space="preserve">  -H 'Content-Type: application/json' \</w:t>
        <w:br/>
        <w:t xml:space="preserve">  --data '{"user_id":"demo-candidate-a"}' \</w:t>
        <w:br/>
        <w:t xml:space="preserve">  http://127.0.0.1:8470/api/v1/auth/demo-login</w:t>
        <w:br/>
        <w:t>curl --fail-with-body -b /tmp/fsp-candidate.cookies \</w:t>
        <w:br/>
        <w:t xml:space="preserve">  http://127.0.0.1:8470/api/v1/candidate/profile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>Ответ входа с CSRF сохраняется в локальный JSON с закрытыми правами, а не выводится в терминал. Cookie и этот JSON не коммитятся; удалите их после проверки.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 xml:space="preserve">Следующий запрос использует CSRF из собственного ответа входа через локальную переменную </w:t>
      </w:r>
      <w:r>
        <w:rPr>
          <w:rFonts w:ascii="Times New Roman" w:hAnsi="Times New Roman" w:eastAsia="Times New Roman" w:cs="Times New Roman"/>
          <w:color w:val="000000"/>
          <w:u w:val="none"/>
        </w:rPr>
        <w:t>FSP_CANDIDATE_CSRF</w:t>
      </w:r>
      <w:r>
        <w:rPr>
          <w:rFonts w:ascii="Times New Roman" w:hAnsi="Times New Roman" w:eastAsia="Times New Roman" w:cs="Times New Roman"/>
          <w:color w:val="000000"/>
          <w:u w:val="none"/>
        </w:rPr>
        <w:t>; его значение не записывается в документацию:</w:t>
      </w:r>
    </w:p>
    <w:p>
      <w:pPr>
        <w:pStyle w:val="GOSTCode"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>curl --fail-with-body -b /tmp/fsp-candidate.cookies \</w:t>
        <w:br/>
        <w:t xml:space="preserve">  -H "X-CSRF-Token: ${FSP_CANDIDATE_CSRF}" \</w:t>
        <w:br/>
        <w:t xml:space="preserve">  -X DELETE http://127.0.0.1:8470/api/v1/candidate/fsp-link</w:t>
      </w:r>
    </w:p>
    <w:p>
      <w:pPr>
        <w:pStyle w:val="Heading2"/>
      </w:pPr>
      <w:r>
        <w:rPr>
          <w:rFonts w:ascii="Times New Roman" w:hAnsi="Times New Roman" w:eastAsia="Times New Roman" w:cs="Times New Roman"/>
          <w:color w:val="000000"/>
          <w:u w:val="none"/>
        </w:rPr>
        <w:t>3. Индивидуальный вход на стенд жюри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 xml:space="preserve">Только при </w:t>
      </w:r>
      <w:r>
        <w:rPr>
          <w:rFonts w:ascii="Times New Roman" w:hAnsi="Times New Roman" w:eastAsia="Times New Roman" w:cs="Times New Roman"/>
          <w:color w:val="000000"/>
          <w:u w:val="none"/>
        </w:rPr>
        <w:t>FSP_JURY_MODE=1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и </w:t>
      </w:r>
      <w:r>
        <w:rPr>
          <w:rFonts w:ascii="Times New Roman" w:hAnsi="Times New Roman" w:eastAsia="Times New Roman" w:cs="Times New Roman"/>
          <w:color w:val="000000"/>
          <w:u w:val="none"/>
        </w:rPr>
        <w:t>FSP_JURY_INDIVIDUAL_REGISTRATION=1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доступен </w:t>
      </w:r>
      <w:r>
        <w:rPr>
          <w:rFonts w:ascii="Times New Roman" w:hAnsi="Times New Roman" w:eastAsia="Times New Roman" w:cs="Times New Roman"/>
          <w:color w:val="000000"/>
          <w:u w:val="none"/>
        </w:rPr>
        <w:t>POST /auth/jury-register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. Тело </w:t>
      </w:r>
      <w:r>
        <w:rPr>
          <w:rFonts w:ascii="Times New Roman" w:hAnsi="Times New Roman" w:eastAsia="Times New Roman" w:cs="Times New Roman"/>
          <w:color w:val="000000"/>
          <w:u w:val="none"/>
        </w:rPr>
        <w:t>JuryRegister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содержит </w:t>
      </w:r>
      <w:r>
        <w:rPr>
          <w:rFonts w:ascii="Times New Roman" w:hAnsi="Times New Roman" w:eastAsia="Times New Roman" w:cs="Times New Roman"/>
          <w:color w:val="000000"/>
          <w:u w:val="none"/>
        </w:rPr>
        <w:t>role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(</w:t>
      </w:r>
      <w:r>
        <w:rPr>
          <w:rFonts w:ascii="Times New Roman" w:hAnsi="Times New Roman" w:eastAsia="Times New Roman" w:cs="Times New Roman"/>
          <w:color w:val="000000"/>
          <w:u w:val="none"/>
        </w:rPr>
        <w:t>candidate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или </w:t>
      </w:r>
      <w:r>
        <w:rPr>
          <w:rFonts w:ascii="Times New Roman" w:hAnsi="Times New Roman" w:eastAsia="Times New Roman" w:cs="Times New Roman"/>
          <w:color w:val="000000"/>
          <w:u w:val="none"/>
        </w:rPr>
        <w:t>employer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), </w:t>
      </w:r>
      <w:r>
        <w:rPr>
          <w:rFonts w:ascii="Times New Roman" w:hAnsi="Times New Roman" w:eastAsia="Times New Roman" w:cs="Times New Roman"/>
          <w:color w:val="000000"/>
          <w:u w:val="none"/>
        </w:rPr>
        <w:t>password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от 12 до 128 символов и </w:t>
      </w:r>
      <w:r>
        <w:rPr>
          <w:rFonts w:ascii="Times New Roman" w:hAnsi="Times New Roman" w:eastAsia="Times New Roman" w:cs="Times New Roman"/>
          <w:color w:val="000000"/>
          <w:u w:val="none"/>
        </w:rPr>
        <w:t>consent: true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. Другие поля, включая настоящую почту и имя, отклоняются. Сервер создаёт синтетический логин </w:t>
      </w:r>
      <w:r>
        <w:rPr>
          <w:rFonts w:ascii="Times New Roman" w:hAnsi="Times New Roman" w:eastAsia="Times New Roman" w:cs="Times New Roman"/>
          <w:color w:val="000000"/>
          <w:u w:val="none"/>
        </w:rPr>
        <w:t>jury-…@example.invalid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профиль или компанию и сразу возвращает </w:t>
      </w:r>
      <w:r>
        <w:rPr>
          <w:rFonts w:ascii="Times New Roman" w:hAnsi="Times New Roman" w:eastAsia="Times New Roman" w:cs="Times New Roman"/>
          <w:color w:val="000000"/>
          <w:u w:val="none"/>
        </w:rPr>
        <w:t>JurySession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со статусом 201: </w:t>
      </w:r>
      <w:r>
        <w:rPr>
          <w:rFonts w:ascii="Times New Roman" w:hAnsi="Times New Roman" w:eastAsia="Times New Roman" w:cs="Times New Roman"/>
          <w:color w:val="000000"/>
          <w:u w:val="none"/>
        </w:rPr>
        <w:t>id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role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label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email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csrf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demo</w:t>
      </w:r>
      <w:r>
        <w:rPr>
          <w:rFonts w:ascii="Times New Roman" w:hAnsi="Times New Roman" w:eastAsia="Times New Roman" w:cs="Times New Roman"/>
          <w:color w:val="000000"/>
          <w:u w:val="none"/>
        </w:rPr>
        <w:t>.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 xml:space="preserve">Сохраните логин; после выхода используйте </w:t>
      </w:r>
      <w:r>
        <w:rPr>
          <w:rFonts w:ascii="Times New Roman" w:hAnsi="Times New Roman" w:eastAsia="Times New Roman" w:cs="Times New Roman"/>
          <w:color w:val="000000"/>
          <w:u w:val="none"/>
        </w:rPr>
        <w:t>/auth/password-login</w:t>
      </w:r>
      <w:r>
        <w:rPr>
          <w:rFonts w:ascii="Times New Roman" w:hAnsi="Times New Roman" w:eastAsia="Times New Roman" w:cs="Times New Roman"/>
          <w:color w:val="000000"/>
          <w:u w:val="none"/>
        </w:rPr>
        <w:t>. Пароль не возвращается сервером и не сохраняется в браузере. Подтверждение реальной почты этот режим не выполняет; полный локальный контур подтверждения описан ниже. Регистрацию ограничивают 200 аккаунтов и пять запросов в час на клиентский IP. Переполнение и частые запросы возвращают 429, отсутствие opt-in — 404. Посторонний Origin отклоняется до расходования лимита. Запрос из действующей сессии возвращает 409: сначала нужно выйти. Общие seed-аккаунты и mock-почта в индивидуальном показе недоступны. Последующие изменения требуют CSRF.</w:t>
      </w:r>
    </w:p>
    <w:p>
      <w:pPr>
        <w:pStyle w:val="Heading2"/>
      </w:pPr>
      <w:r>
        <w:rPr>
          <w:rFonts w:ascii="Times New Roman" w:hAnsi="Times New Roman" w:eastAsia="Times New Roman" w:cs="Times New Roman"/>
          <w:color w:val="000000"/>
          <w:u w:val="none"/>
        </w:rPr>
        <w:t>4. Регистрация и профиль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>POST /api/v1/auth/register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принимает </w:t>
      </w:r>
      <w:r>
        <w:rPr>
          <w:rFonts w:ascii="Times New Roman" w:hAnsi="Times New Roman" w:eastAsia="Times New Roman" w:cs="Times New Roman"/>
          <w:color w:val="000000"/>
          <w:u w:val="none"/>
        </w:rPr>
        <w:t>email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role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label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consent:true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и необязательный </w:t>
      </w:r>
      <w:r>
        <w:rPr>
          <w:rFonts w:ascii="Times New Roman" w:hAnsi="Times New Roman" w:eastAsia="Times New Roman" w:cs="Times New Roman"/>
          <w:color w:val="000000"/>
          <w:u w:val="none"/>
        </w:rPr>
        <w:t>password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длиной 12–128 символов. Разрешены только синтетические адреса </w:t>
      </w:r>
      <w:r>
        <w:rPr>
          <w:rFonts w:ascii="Times New Roman" w:hAnsi="Times New Roman" w:eastAsia="Times New Roman" w:cs="Times New Roman"/>
          <w:color w:val="000000"/>
          <w:u w:val="none"/>
        </w:rPr>
        <w:t>name@example.invalid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. При успехе 201 возвращает </w:t>
      </w:r>
      <w:r>
        <w:rPr>
          <w:rFonts w:ascii="Times New Roman" w:hAnsi="Times New Roman" w:eastAsia="Times New Roman" w:cs="Times New Roman"/>
          <w:color w:val="000000"/>
          <w:u w:val="none"/>
        </w:rPr>
        <w:t>DeliveryView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: </w:t>
      </w:r>
      <w:r>
        <w:rPr>
          <w:rFonts w:ascii="Times New Roman" w:hAnsi="Times New Roman" w:eastAsia="Times New Roman" w:cs="Times New Roman"/>
          <w:color w:val="000000"/>
          <w:u w:val="none"/>
        </w:rPr>
        <w:t>message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transport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(</w:t>
      </w:r>
      <w:r>
        <w:rPr>
          <w:rFonts w:ascii="Times New Roman" w:hAnsi="Times New Roman" w:eastAsia="Times New Roman" w:cs="Times New Roman"/>
          <w:color w:val="000000"/>
          <w:u w:val="none"/>
        </w:rPr>
        <w:t>local-mailbox</w:t>
      </w:r>
      <w:r>
        <w:rPr>
          <w:rFonts w:ascii="Times New Roman" w:hAnsi="Times New Roman" w:eastAsia="Times New Roman" w:cs="Times New Roman"/>
          <w:color w:val="000000"/>
          <w:u w:val="none"/>
        </w:rPr>
        <w:t>/</w:t>
      </w:r>
      <w:r>
        <w:rPr>
          <w:rFonts w:ascii="Times New Roman" w:hAnsi="Times New Roman" w:eastAsia="Times New Roman" w:cs="Times New Roman"/>
          <w:color w:val="000000"/>
          <w:u w:val="none"/>
        </w:rPr>
        <w:t>smtp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), </w:t>
      </w:r>
      <w:r>
        <w:rPr>
          <w:rFonts w:ascii="Times New Roman" w:hAnsi="Times New Roman" w:eastAsia="Times New Roman" w:cs="Times New Roman"/>
          <w:color w:val="000000"/>
          <w:u w:val="none"/>
        </w:rPr>
        <w:t>delivery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(</w:t>
      </w:r>
      <w:r>
        <w:rPr>
          <w:rFonts w:ascii="Times New Roman" w:hAnsi="Times New Roman" w:eastAsia="Times New Roman" w:cs="Times New Roman"/>
          <w:color w:val="000000"/>
          <w:u w:val="none"/>
        </w:rPr>
        <w:t>ready</w:t>
      </w:r>
      <w:r>
        <w:rPr>
          <w:rFonts w:ascii="Times New Roman" w:hAnsi="Times New Roman" w:eastAsia="Times New Roman" w:cs="Times New Roman"/>
          <w:color w:val="000000"/>
          <w:u w:val="none"/>
        </w:rPr>
        <w:t>/</w:t>
      </w:r>
      <w:r>
        <w:rPr>
          <w:rFonts w:ascii="Times New Roman" w:hAnsi="Times New Roman" w:eastAsia="Times New Roman" w:cs="Times New Roman"/>
          <w:color w:val="000000"/>
          <w:u w:val="none"/>
        </w:rPr>
        <w:t>failed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), </w:t>
      </w:r>
      <w:r>
        <w:rPr>
          <w:rFonts w:ascii="Times New Roman" w:hAnsi="Times New Roman" w:eastAsia="Times New Roman" w:cs="Times New Roman"/>
          <w:color w:val="000000"/>
          <w:u w:val="none"/>
        </w:rPr>
        <w:t>demo:true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. Сбой SMTP не отменяет регистрацию: ссылка уже подготовлена, доставку можно повторить через </w:t>
      </w:r>
      <w:r>
        <w:rPr>
          <w:rFonts w:ascii="Times New Roman" w:hAnsi="Times New Roman" w:eastAsia="Times New Roman" w:cs="Times New Roman"/>
          <w:color w:val="000000"/>
          <w:u w:val="none"/>
        </w:rPr>
        <w:t>/auth/login</w:t>
      </w:r>
      <w:r>
        <w:rPr>
          <w:rFonts w:ascii="Times New Roman" w:hAnsi="Times New Roman" w:eastAsia="Times New Roman" w:cs="Times New Roman"/>
          <w:color w:val="000000"/>
          <w:u w:val="none"/>
        </w:rPr>
        <w:t>.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>GET /auth/mock-mail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открыт и содержит одноразовые токены исключительно локальной демонстрационной почты. Срок ссылки — 30 минут. </w:t>
      </w:r>
      <w:r>
        <w:rPr>
          <w:rFonts w:ascii="Times New Roman" w:hAnsi="Times New Roman" w:eastAsia="Times New Roman" w:cs="Times New Roman"/>
          <w:color w:val="000000"/>
          <w:u w:val="none"/>
        </w:rPr>
        <w:t>/auth/verify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принимает </w:t>
      </w:r>
      <w:r>
        <w:rPr>
          <w:rFonts w:ascii="Times New Roman" w:hAnsi="Times New Roman" w:eastAsia="Times New Roman" w:cs="Times New Roman"/>
          <w:color w:val="000000"/>
          <w:u w:val="none"/>
        </w:rPr>
        <w:t>{ "token": "&lt;полученный локально токен&gt;" }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подтверждает адрес и создаёт сессию; повторное/просроченное подтверждение — 409. </w:t>
      </w:r>
      <w:r>
        <w:rPr>
          <w:rFonts w:ascii="Times New Roman" w:hAnsi="Times New Roman" w:eastAsia="Times New Roman" w:cs="Times New Roman"/>
          <w:color w:val="000000"/>
          <w:u w:val="none"/>
        </w:rPr>
        <w:t>/auth/password-login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принимает </w:t>
      </w:r>
      <w:r>
        <w:rPr>
          <w:rFonts w:ascii="Times New Roman" w:hAnsi="Times New Roman" w:eastAsia="Times New Roman" w:cs="Times New Roman"/>
          <w:color w:val="000000"/>
          <w:u w:val="none"/>
        </w:rPr>
        <w:t>email/password</w:t>
      </w:r>
      <w:r>
        <w:rPr>
          <w:rFonts w:ascii="Times New Roman" w:hAnsi="Times New Roman" w:eastAsia="Times New Roman" w:cs="Times New Roman"/>
          <w:color w:val="000000"/>
          <w:u w:val="none"/>
        </w:rPr>
        <w:t>, требует подтверждённого адреса; неправильные данные — 401, неподтверждённый адрес — 403. Внешнее владение реальным email эта открытая demo-почта не доказывает.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>PUT /candidate/profile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— полная замена редактируемых полей </w:t>
      </w:r>
      <w:r>
        <w:rPr>
          <w:rFonts w:ascii="Times New Roman" w:hAnsi="Times New Roman" w:eastAsia="Times New Roman" w:cs="Times New Roman"/>
          <w:color w:val="000000"/>
          <w:u w:val="none"/>
        </w:rPr>
        <w:t>ProfileInput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не PATCH. Клиент задаёт </w:t>
      </w:r>
      <w:r>
        <w:rPr>
          <w:rFonts w:ascii="Times New Roman" w:hAnsi="Times New Roman" w:eastAsia="Times New Roman" w:cs="Times New Roman"/>
          <w:color w:val="000000"/>
          <w:u w:val="none"/>
        </w:rPr>
        <w:t>claimed_grade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а не </w:t>
      </w:r>
      <w:r>
        <w:rPr>
          <w:rFonts w:ascii="Times New Roman" w:hAnsi="Times New Roman" w:eastAsia="Times New Roman" w:cs="Times New Roman"/>
          <w:color w:val="000000"/>
          <w:u w:val="none"/>
        </w:rPr>
        <w:t>confirmed_grade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skills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или </w:t>
      </w:r>
      <w:r>
        <w:rPr>
          <w:rFonts w:ascii="Times New Roman" w:hAnsi="Times New Roman" w:eastAsia="Times New Roman" w:cs="Times New Roman"/>
          <w:color w:val="000000"/>
          <w:u w:val="none"/>
        </w:rPr>
        <w:t>test_score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. </w:t>
      </w:r>
      <w:r>
        <w:rPr>
          <w:rFonts w:ascii="Times New Roman" w:hAnsi="Times New Roman" w:eastAsia="Times New Roman" w:cs="Times New Roman"/>
          <w:color w:val="000000"/>
          <w:u w:val="none"/>
        </w:rPr>
        <w:t>industry=it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; специализации </w:t>
      </w:r>
      <w:r>
        <w:rPr>
          <w:rFonts w:ascii="Times New Roman" w:hAnsi="Times New Roman" w:eastAsia="Times New Roman" w:cs="Times New Roman"/>
          <w:color w:val="000000"/>
          <w:u w:val="none"/>
        </w:rPr>
        <w:t>backend/frontend/qa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грейды </w:t>
      </w:r>
      <w:r>
        <w:rPr>
          <w:rFonts w:ascii="Times New Roman" w:hAnsi="Times New Roman" w:eastAsia="Times New Roman" w:cs="Times New Roman"/>
          <w:color w:val="000000"/>
          <w:u w:val="none"/>
        </w:rPr>
        <w:t>junior/middle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формат </w:t>
      </w:r>
      <w:r>
        <w:rPr>
          <w:rFonts w:ascii="Times New Roman" w:hAnsi="Times New Roman" w:eastAsia="Times New Roman" w:cs="Times New Roman"/>
          <w:color w:val="000000"/>
          <w:u w:val="none"/>
        </w:rPr>
        <w:t>remote/hybrid/office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. Строгие целые зарплаты указаны в RUB. Резюме содержит </w:t>
      </w:r>
      <w:r>
        <w:rPr>
          <w:rFonts w:ascii="Times New Roman" w:hAnsi="Times New Roman" w:eastAsia="Times New Roman" w:cs="Times New Roman"/>
          <w:color w:val="000000"/>
          <w:u w:val="none"/>
        </w:rPr>
        <w:t>full_name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years_experience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roles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soft_skills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education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about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declared_skills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; заполнение не подтверждает компетентность. </w:t>
      </w:r>
      <w:r>
        <w:rPr>
          <w:rFonts w:ascii="Times New Roman" w:hAnsi="Times New Roman" w:eastAsia="Times New Roman" w:cs="Times New Roman"/>
          <w:color w:val="000000"/>
          <w:u w:val="none"/>
        </w:rPr>
        <w:t>resume.declared_skills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— до 20 ID технологий из </w:t>
      </w:r>
      <w:r>
        <w:rPr>
          <w:rFonts w:ascii="Times New Roman" w:hAnsi="Times New Roman" w:eastAsia="Times New Roman" w:cs="Times New Roman"/>
          <w:color w:val="000000"/>
          <w:u w:val="none"/>
        </w:rPr>
        <w:t>declared_skills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ответа </w:t>
      </w:r>
      <w:r>
        <w:rPr>
          <w:rFonts w:ascii="Times New Roman" w:hAnsi="Times New Roman" w:eastAsia="Times New Roman" w:cs="Times New Roman"/>
          <w:color w:val="000000"/>
          <w:u w:val="none"/>
        </w:rPr>
        <w:t>/catalog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по умолчанию </w:t>
      </w:r>
      <w:r>
        <w:rPr>
          <w:rFonts w:ascii="Times New Roman" w:hAnsi="Times New Roman" w:eastAsia="Times New Roman" w:cs="Times New Roman"/>
          <w:color w:val="000000"/>
          <w:u w:val="none"/>
        </w:rPr>
        <w:t>[]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. Повторы удаляются с сохранением порядка, неизвестный ID даёт 422. При полном PUT передавайте текущий список, чтобы сохранить заявления. React/Vue/Go/Java можно заявить, но оценочная категория остаётся одной из трёх доступных специализаций; заявление не обновляет </w:t>
      </w:r>
      <w:r>
        <w:rPr>
          <w:rFonts w:ascii="Times New Roman" w:hAnsi="Times New Roman" w:eastAsia="Times New Roman" w:cs="Times New Roman"/>
          <w:color w:val="000000"/>
          <w:u w:val="none"/>
        </w:rPr>
        <w:t>skills</w:t>
      </w:r>
      <w:r>
        <w:rPr>
          <w:rFonts w:ascii="Times New Roman" w:hAnsi="Times New Roman" w:eastAsia="Times New Roman" w:cs="Times New Roman"/>
          <w:color w:val="000000"/>
          <w:u w:val="none"/>
        </w:rPr>
        <w:t>, балл или публикацию. Смена специализации снимает публикацию и переключает подтверждённый результат на историю выбранного направления, не переносит квалификацию из другого.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>POST /candidate/resume-preview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принимает </w:t>
      </w:r>
      <w:r>
        <w:rPr>
          <w:rFonts w:ascii="Times New Roman" w:hAnsi="Times New Roman" w:eastAsia="Times New Roman" w:cs="Times New Roman"/>
          <w:b/>
          <w:color w:val="000000"/>
          <w:u w:val="none"/>
        </w:rPr>
        <w:t>сам PDF в теле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Content-Type: application/pdf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до 2 MiB. Это не multipart/form-data. Ответ </w:t>
      </w:r>
      <w:r>
        <w:rPr>
          <w:rFonts w:ascii="Times New Roman" w:hAnsi="Times New Roman" w:eastAsia="Times New Roman" w:cs="Times New Roman"/>
          <w:color w:val="000000"/>
          <w:u w:val="none"/>
        </w:rPr>
        <w:t>ResumePreviewView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предлагает </w:t>
      </w:r>
      <w:r>
        <w:rPr>
          <w:rFonts w:ascii="Times New Roman" w:hAnsi="Times New Roman" w:eastAsia="Times New Roman" w:cs="Times New Roman"/>
          <w:color w:val="000000"/>
          <w:u w:val="none"/>
        </w:rPr>
        <w:t>resume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contact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specialization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claimed_grade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claimed_skills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warnings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demo</w:t>
      </w:r>
      <w:r>
        <w:rPr>
          <w:rFonts w:ascii="Times New Roman" w:hAnsi="Times New Roman" w:eastAsia="Times New Roman" w:cs="Times New Roman"/>
          <w:color w:val="000000"/>
          <w:u w:val="none"/>
        </w:rPr>
        <w:t>. Предпросмотр ничего не сохраняет: пользователь подтверждает поля отдельным PUT профиля. Парсинг эвристический, для текстового PDF, без OCR; ошибки/timeout — 422, слишком большой файл — 413, неправильный Content-Type — 415.</w:t>
      </w:r>
    </w:p>
    <w:p>
      <w:pPr>
        <w:pStyle w:val="Heading2"/>
      </w:pPr>
      <w:r>
        <w:rPr>
          <w:rFonts w:ascii="Times New Roman" w:hAnsi="Times New Roman" w:eastAsia="Times New Roman" w:cs="Times New Roman"/>
          <w:color w:val="000000"/>
          <w:u w:val="none"/>
        </w:rPr>
        <w:t>5. Каталог и основания навыков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>GET /catalog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возвращает </w:t>
      </w:r>
      <w:r>
        <w:rPr>
          <w:rFonts w:ascii="Times New Roman" w:hAnsi="Times New Roman" w:eastAsia="Times New Roman" w:cs="Times New Roman"/>
          <w:color w:val="000000"/>
          <w:u w:val="none"/>
        </w:rPr>
        <w:t>CatalogView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: </w:t>
      </w:r>
      <w:r>
        <w:rPr>
          <w:rFonts w:ascii="Times New Roman" w:hAnsi="Times New Roman" w:eastAsia="Times New Roman" w:cs="Times New Roman"/>
          <w:color w:val="000000"/>
          <w:u w:val="none"/>
        </w:rPr>
        <w:t>industry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specializations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grades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assessment_version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declared_skills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work_tasks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work_tasks_version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demo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. Сейчас </w:t>
      </w:r>
      <w:r>
        <w:rPr>
          <w:rFonts w:ascii="Times New Roman" w:hAnsi="Times New Roman" w:eastAsia="Times New Roman" w:cs="Times New Roman"/>
          <w:color w:val="000000"/>
          <w:u w:val="none"/>
        </w:rPr>
        <w:t>assessment_version=scenarios-v6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work_tasks_version=team-work-v1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. Элемент </w:t>
      </w:r>
      <w:r>
        <w:rPr>
          <w:rFonts w:ascii="Times New Roman" w:hAnsi="Times New Roman" w:eastAsia="Times New Roman" w:cs="Times New Roman"/>
          <w:color w:val="000000"/>
          <w:u w:val="none"/>
        </w:rPr>
        <w:t>declared_skills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содержит </w:t>
      </w:r>
      <w:r>
        <w:rPr>
          <w:rFonts w:ascii="Times New Roman" w:hAnsi="Times New Roman" w:eastAsia="Times New Roman" w:cs="Times New Roman"/>
          <w:color w:val="000000"/>
          <w:u w:val="none"/>
        </w:rPr>
        <w:t>id/label/specializations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элемент </w:t>
      </w:r>
      <w:r>
        <w:rPr>
          <w:rFonts w:ascii="Times New Roman" w:hAnsi="Times New Roman" w:eastAsia="Times New Roman" w:cs="Times New Roman"/>
          <w:color w:val="000000"/>
          <w:u w:val="none"/>
        </w:rPr>
        <w:t>work_tasks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— </w:t>
      </w:r>
      <w:r>
        <w:rPr>
          <w:rFonts w:ascii="Times New Roman" w:hAnsi="Times New Roman" w:eastAsia="Times New Roman" w:cs="Times New Roman"/>
          <w:color w:val="000000"/>
          <w:u w:val="none"/>
        </w:rPr>
        <w:t>id/label/description/skills/specialization</w:t>
      </w:r>
      <w:r>
        <w:rPr>
          <w:rFonts w:ascii="Times New Roman" w:hAnsi="Times New Roman" w:eastAsia="Times New Roman" w:cs="Times New Roman"/>
          <w:color w:val="000000"/>
          <w:u w:val="none"/>
        </w:rPr>
        <w:t>. Каталог технологий для заявлений шире матрицы первичной оценки.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>skill_evidence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— </w:t>
      </w:r>
      <w:r>
        <w:rPr>
          <w:rFonts w:ascii="Times New Roman" w:hAnsi="Times New Roman" w:eastAsia="Times New Roman" w:cs="Times New Roman"/>
          <w:color w:val="000000"/>
          <w:u w:val="none"/>
        </w:rPr>
        <w:t>SkillEvidenceView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в собственном профиле и разрешённых работодателю проекциях кандидата (поиск, shortlist, detail). Источники разделены:</w:t>
      </w:r>
    </w:p>
    <w:p>
      <w:pPr>
        <w:pStyle w:val="GOSTTableReference"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>Сведения приведены в таблице 1.</w:t>
      </w:r>
    </w:p>
    <w:p>
      <w:pPr>
        <w:pStyle w:val="GOSTTableCaption"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>Таблица 1 — Каталог и основания навыков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cantSplit/>
          <w:tblHeader w:val="true"/>
        </w:trPr>
        <w:tc>
          <w:tcPr>
            <w:tcW w:type="dxa" w:w="17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Поле</w:t>
            </w:r>
          </w:p>
        </w:tc>
        <w:tc>
          <w:tcPr>
            <w:tcW w:type="dxa" w:w="761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Состав и смысл</w:t>
            </w:r>
          </w:p>
        </w:tc>
      </w:tr>
      <w:tr>
        <w:trPr>
          <w:cantSplit/>
        </w:trPr>
        <w:tc>
          <w:tcPr>
            <w:tcW w:type="dxa" w:w="17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declared</w:t>
            </w:r>
          </w:p>
        </w:tc>
        <w:tc>
          <w:tcPr>
            <w:tcW w:type="dxa" w:w="761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ID заявленных технологий; без подтверждения навыка</w:t>
            </w:r>
          </w:p>
        </w:tc>
      </w:tr>
      <w:tr>
        <w:trPr>
          <w:cantSplit/>
        </w:trPr>
        <w:tc>
          <w:tcPr>
            <w:tcW w:type="dxa" w:w="17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assessment</w:t>
            </w:r>
          </w:p>
        </w:tc>
        <w:tc>
          <w:tcPr>
            <w:tcW w:type="dxa" w:w="761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skill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, nullable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score/correct/total/version/assessed_at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source=assessment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 либо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legacy-assessment</w:t>
            </w:r>
          </w:p>
        </w:tc>
      </w:tr>
      <w:tr>
        <w:trPr>
          <w:cantSplit/>
        </w:trPr>
        <w:tc>
          <w:tcPr>
            <w:tcW w:type="dxa" w:w="17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practice</w:t>
            </w:r>
          </w:p>
        </w:tc>
        <w:tc>
          <w:tcPr>
            <w:tcW w:type="dxa" w:w="761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skill/score/tasks/total_tasks/completed_at/source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; source —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platform-practice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 либо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employer-practice</w:t>
            </w:r>
          </w:p>
        </w:tc>
      </w:tr>
      <w:tr>
        <w:trPr>
          <w:cantSplit/>
        </w:trPr>
        <w:tc>
          <w:tcPr>
            <w:tcW w:type="dxa" w:w="17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limitations</w:t>
            </w:r>
          </w:p>
        </w:tc>
        <w:tc>
          <w:tcPr>
            <w:tcW w:type="dxa" w:w="761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Явные ограничения оснований</w:t>
            </w:r>
          </w:p>
        </w:tc>
      </w:tr>
    </w:tbl>
    <w:p>
      <w:pPr>
        <w:spacing w:after="0"/>
        <w:ind w:firstLine="0"/>
      </w:pPr>
    </w:p>
    <w:p>
      <w:r>
        <w:rPr>
          <w:rFonts w:ascii="Times New Roman" w:hAnsi="Times New Roman" w:eastAsia="Times New Roman" w:cs="Times New Roman"/>
          <w:color w:val="000000"/>
          <w:u w:val="none"/>
        </w:rPr>
        <w:t xml:space="preserve">Основание оценки относится к текущему прошедшему результату категории, а не к последней неуспешной попытке. Без однозначного сохранённого результата используется </w:t>
      </w:r>
      <w:r>
        <w:rPr>
          <w:rFonts w:ascii="Times New Roman" w:hAnsi="Times New Roman" w:eastAsia="Times New Roman" w:cs="Times New Roman"/>
          <w:color w:val="000000"/>
          <w:u w:val="none"/>
        </w:rPr>
        <w:t>legacy-assessment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: баллы, количество и версия равны </w:t>
      </w:r>
      <w:r>
        <w:rPr>
          <w:rFonts w:ascii="Times New Roman" w:hAnsi="Times New Roman" w:eastAsia="Times New Roman" w:cs="Times New Roman"/>
          <w:color w:val="000000"/>
          <w:u w:val="none"/>
        </w:rPr>
        <w:t>null</w:t>
      </w:r>
      <w:r>
        <w:rPr>
          <w:rFonts w:ascii="Times New Roman" w:hAnsi="Times New Roman" w:eastAsia="Times New Roman" w:cs="Times New Roman"/>
          <w:color w:val="000000"/>
          <w:u w:val="none"/>
        </w:rPr>
        <w:t>. Сохранённая дата профиля может оставаться доступной.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 xml:space="preserve">Практика включает полностью завершённые и оценённые задания с заданным навыком. </w:t>
      </w:r>
      <w:r>
        <w:rPr>
          <w:rFonts w:ascii="Times New Roman" w:hAnsi="Times New Roman" w:eastAsia="Times New Roman" w:cs="Times New Roman"/>
          <w:color w:val="000000"/>
          <w:u w:val="none"/>
        </w:rPr>
        <w:t>tasks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считает задания с результатом ≥50%, </w:t>
      </w:r>
      <w:r>
        <w:rPr>
          <w:rFonts w:ascii="Times New Roman" w:hAnsi="Times New Roman" w:eastAsia="Times New Roman" w:cs="Times New Roman"/>
          <w:color w:val="000000"/>
          <w:u w:val="none"/>
        </w:rPr>
        <w:t>total_tasks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— все оценённые задания; </w:t>
      </w:r>
      <w:r>
        <w:rPr>
          <w:rFonts w:ascii="Times New Roman" w:hAnsi="Times New Roman" w:eastAsia="Times New Roman" w:cs="Times New Roman"/>
          <w:color w:val="000000"/>
          <w:u w:val="none"/>
        </w:rPr>
        <w:t>score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взвешен по весам заданий навыка. Платформенные и работодательские результаты агрегируются отдельно. Pending review/code, черновик или общая ручная оценка короткого ответа без навыков заданий не становятся доказательством конкретного навыка. Агрегат не выдаёт ответы, код, ключи, названия банков или контакты. Практика и заявления не повышают глобальный грейд и не участвуют в обязательном фильтре поиска.</w:t>
      </w:r>
    </w:p>
    <w:p>
      <w:pPr>
        <w:pStyle w:val="Heading2"/>
      </w:pPr>
      <w:r>
        <w:rPr>
          <w:rFonts w:ascii="Times New Roman" w:hAnsi="Times New Roman" w:eastAsia="Times New Roman" w:cs="Times New Roman"/>
          <w:color w:val="000000"/>
          <w:u w:val="none"/>
        </w:rPr>
        <w:t>6. Обязательная оценка, категория и публикация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 xml:space="preserve">Это первичная оценка ТЗ, отличная от практических банков работодателя. </w:t>
      </w:r>
      <w:r>
        <w:rPr>
          <w:rFonts w:ascii="Times New Roman" w:hAnsi="Times New Roman" w:eastAsia="Times New Roman" w:cs="Times New Roman"/>
          <w:color w:val="000000"/>
          <w:u w:val="none"/>
        </w:rPr>
        <w:t>/catalog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даёт актуальный набор навыков для каждой специализации. Новая форма содержит 12 вопросов из 12 семейств, четыре на каждый из трёх навыков. Сценарии включают чтение кода, реальные SQLite-таблицы, HTTP-повторы и права, HTML-доступность и QA-граничные случаи. Код кандидата этот API не исполняет.</w:t>
      </w:r>
    </w:p>
    <w:p>
      <w:pPr>
        <w:pStyle w:val="GOSTList"/>
        <w:ind w:left="709"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1. </w:t>
      </w:r>
      <w:r>
        <w:rPr>
          <w:rFonts w:ascii="Times New Roman" w:hAnsi="Times New Roman" w:eastAsia="Times New Roman" w:cs="Times New Roman"/>
          <w:color w:val="000000"/>
          <w:u w:val="none"/>
        </w:rPr>
        <w:t>В профиле выбрать специализацию и заявленный грейд.</w:t>
      </w:r>
    </w:p>
    <w:p>
      <w:pPr>
        <w:pStyle w:val="GOSTList"/>
        <w:ind w:left="709"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2. </w:t>
      </w:r>
      <w:r>
        <w:rPr>
          <w:rFonts w:ascii="Times New Roman" w:hAnsi="Times New Roman" w:eastAsia="Times New Roman" w:cs="Times New Roman"/>
          <w:color w:val="000000"/>
          <w:u w:val="none"/>
        </w:rPr>
        <w:t>POST /assessments/attempts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: </w:t>
      </w:r>
      <w:r>
        <w:rPr>
          <w:rFonts w:ascii="Times New Roman" w:hAnsi="Times New Roman" w:eastAsia="Times New Roman" w:cs="Times New Roman"/>
          <w:color w:val="000000"/>
          <w:u w:val="none"/>
        </w:rPr>
        <w:t>specialization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grade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опционально </w:t>
      </w:r>
      <w:r>
        <w:rPr>
          <w:rFonts w:ascii="Times New Roman" w:hAnsi="Times New Roman" w:eastAsia="Times New Roman" w:cs="Times New Roman"/>
          <w:color w:val="000000"/>
          <w:u w:val="none"/>
        </w:rPr>
        <w:t>vacancy_id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подходящей опубликованной вакансии. Ответ 201 </w:t>
      </w:r>
      <w:r>
        <w:rPr>
          <w:rFonts w:ascii="Times New Roman" w:hAnsi="Times New Roman" w:eastAsia="Times New Roman" w:cs="Times New Roman"/>
          <w:color w:val="000000"/>
          <w:u w:val="none"/>
        </w:rPr>
        <w:t>AttemptView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: </w:t>
      </w:r>
      <w:r>
        <w:rPr>
          <w:rFonts w:ascii="Times New Roman" w:hAnsi="Times New Roman" w:eastAsia="Times New Roman" w:cs="Times New Roman"/>
          <w:color w:val="000000"/>
          <w:u w:val="none"/>
        </w:rPr>
        <w:t>id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questions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grade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specialization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context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version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result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answers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revision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expires_at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demo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. Публичные вопросы исключают решения. Новые формы используют </w:t>
      </w:r>
      <w:r>
        <w:rPr>
          <w:rFonts w:ascii="Times New Roman" w:hAnsi="Times New Roman" w:eastAsia="Times New Roman" w:cs="Times New Roman"/>
          <w:color w:val="000000"/>
          <w:u w:val="none"/>
        </w:rPr>
        <w:t>scenarios-v6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. Публичная проекция вопроса: </w:t>
      </w:r>
      <w:r>
        <w:rPr>
          <w:rFonts w:ascii="Times New Roman" w:hAnsi="Times New Roman" w:eastAsia="Times New Roman" w:cs="Times New Roman"/>
          <w:color w:val="000000"/>
          <w:u w:val="none"/>
        </w:rPr>
        <w:t>id/skill/title/options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; </w:t>
      </w:r>
      <w:r>
        <w:rPr>
          <w:rFonts w:ascii="Times New Roman" w:hAnsi="Times New Roman" w:eastAsia="Times New Roman" w:cs="Times New Roman"/>
          <w:color w:val="000000"/>
          <w:u w:val="none"/>
        </w:rPr>
        <w:t>family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и </w:t>
      </w:r>
      <w:r>
        <w:rPr>
          <w:rFonts w:ascii="Times New Roman" w:hAnsi="Times New Roman" w:eastAsia="Times New Roman" w:cs="Times New Roman"/>
          <w:color w:val="000000"/>
          <w:u w:val="none"/>
        </w:rPr>
        <w:t>parameters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не возвращаются. ID новых вопросов — непрозрачные 24 hex-символа из сохранённого снимка; исторические ID сохранены для совместимости. Seed, </w:t>
      </w:r>
      <w:r>
        <w:rPr>
          <w:rFonts w:ascii="Times New Roman" w:hAnsi="Times New Roman" w:eastAsia="Times New Roman" w:cs="Times New Roman"/>
          <w:color w:val="000000"/>
          <w:u w:val="none"/>
        </w:rPr>
        <w:t>answer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explanation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explanation_answer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и </w:t>
      </w:r>
      <w:r>
        <w:rPr>
          <w:rFonts w:ascii="Times New Roman" w:hAnsi="Times New Roman" w:eastAsia="Times New Roman" w:cs="Times New Roman"/>
          <w:color w:val="000000"/>
          <w:u w:val="none"/>
        </w:rPr>
        <w:t>topic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не выдаются в вопросах. Старые формы v1/v2/v3/v4/v5 сохраняют свою версию и решения на сервере, новая версия их не пересчитывает. У </w:t>
      </w:r>
      <w:r>
        <w:rPr>
          <w:rFonts w:ascii="Times New Roman" w:hAnsi="Times New Roman" w:eastAsia="Times New Roman" w:cs="Times New Roman"/>
          <w:color w:val="000000"/>
          <w:u w:val="none"/>
        </w:rPr>
        <w:t>AttemptView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добавлен nullable </w:t>
      </w:r>
      <w:r>
        <w:rPr>
          <w:rFonts w:ascii="Times New Roman" w:hAnsi="Times New Roman" w:eastAsia="Times New Roman" w:cs="Times New Roman"/>
          <w:color w:val="000000"/>
          <w:u w:val="none"/>
        </w:rPr>
        <w:t>feedback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: до завершения попытки всегда </w:t>
      </w:r>
      <w:r>
        <w:rPr>
          <w:rFonts w:ascii="Times New Roman" w:hAnsi="Times New Roman" w:eastAsia="Times New Roman" w:cs="Times New Roman"/>
          <w:color w:val="000000"/>
          <w:u w:val="none"/>
        </w:rPr>
        <w:t>null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в том числе у истёкшего черновика. После успешной отправки владелец может запросить свою попытку через </w:t>
      </w:r>
      <w:r>
        <w:rPr>
          <w:rFonts w:ascii="Times New Roman" w:hAnsi="Times New Roman" w:eastAsia="Times New Roman" w:cs="Times New Roman"/>
          <w:color w:val="000000"/>
          <w:u w:val="none"/>
        </w:rPr>
        <w:t>GET /assessments/attempts/{id}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и получить разбор сохранённой формы: </w:t>
      </w:r>
      <w:r>
        <w:rPr>
          <w:rFonts w:ascii="Times New Roman" w:hAnsi="Times New Roman" w:eastAsia="Times New Roman" w:cs="Times New Roman"/>
          <w:color w:val="000000"/>
          <w:u w:val="none"/>
        </w:rPr>
        <w:t>threshold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correct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total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needed_correct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skills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и </w:t>
      </w:r>
      <w:r>
        <w:rPr>
          <w:rFonts w:ascii="Times New Roman" w:hAnsi="Times New Roman" w:eastAsia="Times New Roman" w:cs="Times New Roman"/>
          <w:color w:val="000000"/>
          <w:u w:val="none"/>
        </w:rPr>
        <w:t>questions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. </w:t>
      </w:r>
      <w:r>
        <w:rPr>
          <w:rFonts w:ascii="Times New Roman" w:hAnsi="Times New Roman" w:eastAsia="Times New Roman" w:cs="Times New Roman"/>
          <w:color w:val="000000"/>
          <w:u w:val="none"/>
        </w:rPr>
        <w:t>needed_correct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— общее минимальное число верных ответов для порога (9/12 Junior, 10/12 Middle), а не число недостающих. </w:t>
      </w:r>
      <w:r>
        <w:rPr>
          <w:rFonts w:ascii="Times New Roman" w:hAnsi="Times New Roman" w:eastAsia="Times New Roman" w:cs="Times New Roman"/>
          <w:color w:val="000000"/>
          <w:u w:val="none"/>
        </w:rPr>
        <w:t>skills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содержит </w:t>
      </w:r>
      <w:r>
        <w:rPr>
          <w:rFonts w:ascii="Times New Roman" w:hAnsi="Times New Roman" w:eastAsia="Times New Roman" w:cs="Times New Roman"/>
          <w:color w:val="000000"/>
          <w:u w:val="none"/>
        </w:rPr>
        <w:t>correct/total/score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учебные темы и рекомендацию; </w:t>
      </w:r>
      <w:r>
        <w:rPr>
          <w:rFonts w:ascii="Times New Roman" w:hAnsi="Times New Roman" w:eastAsia="Times New Roman" w:cs="Times New Roman"/>
          <w:color w:val="000000"/>
          <w:u w:val="none"/>
        </w:rPr>
        <w:t>status=strong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начинается с 75% в этом навыке и не является новым грейдом. Каждый элемент </w:t>
      </w:r>
      <w:r>
        <w:rPr>
          <w:rFonts w:ascii="Times New Roman" w:hAnsi="Times New Roman" w:eastAsia="Times New Roman" w:cs="Times New Roman"/>
          <w:color w:val="000000"/>
          <w:u w:val="none"/>
        </w:rPr>
        <w:t>questions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содержит выбранный ответ, эталон и объяснение, со статусом </w:t>
      </w:r>
      <w:r>
        <w:rPr>
          <w:rFonts w:ascii="Times New Roman" w:hAnsi="Times New Roman" w:eastAsia="Times New Roman" w:cs="Times New Roman"/>
          <w:color w:val="000000"/>
          <w:u w:val="none"/>
        </w:rPr>
        <w:t>correct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incorrect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или </w:t>
      </w:r>
      <w:r>
        <w:rPr>
          <w:rFonts w:ascii="Times New Roman" w:hAnsi="Times New Roman" w:eastAsia="Times New Roman" w:cs="Times New Roman"/>
          <w:color w:val="000000"/>
          <w:u w:val="none"/>
        </w:rPr>
        <w:t>unanswered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. Для старых/неизвестных семейств подробное объяснение может быть недоступно — эталон снимка сохраняется. Работодатель получает 403, другой кандидат 404, анонимный запрос 401. Разбор не перезаписывает </w:t>
      </w:r>
      <w:r>
        <w:rPr>
          <w:rFonts w:ascii="Times New Roman" w:hAnsi="Times New Roman" w:eastAsia="Times New Roman" w:cs="Times New Roman"/>
          <w:color w:val="000000"/>
          <w:u w:val="none"/>
        </w:rPr>
        <w:t>AssessmentResultView</w:t>
      </w:r>
      <w:r>
        <w:rPr>
          <w:rFonts w:ascii="Times New Roman" w:hAnsi="Times New Roman" w:eastAsia="Times New Roman" w:cs="Times New Roman"/>
          <w:color w:val="000000"/>
          <w:u w:val="none"/>
        </w:rPr>
        <w:t>, историю, форму или баллы. Для v6 подробный разбор берётся из snapshot и показывается только при совпадении сохранённого ключа объяснения с эталоном; иначе используется честное сообщение о недоступном подробном разборе. Исторические формы без snapshot восстанавливаются своим прежним генератором.</w:t>
      </w:r>
    </w:p>
    <w:p>
      <w:pPr>
        <w:pStyle w:val="GOSTList"/>
        <w:ind w:left="709"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3. </w:t>
      </w:r>
      <w:r>
        <w:rPr>
          <w:rFonts w:ascii="Times New Roman" w:hAnsi="Times New Roman" w:eastAsia="Times New Roman" w:cs="Times New Roman"/>
          <w:color w:val="000000"/>
          <w:u w:val="none"/>
        </w:rPr>
        <w:t>PUT /assessments/attempts/{id}/draft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передаёт </w:t>
      </w:r>
      <w:r>
        <w:rPr>
          <w:rFonts w:ascii="Times New Roman" w:hAnsi="Times New Roman" w:eastAsia="Times New Roman" w:cs="Times New Roman"/>
          <w:b/>
          <w:color w:val="000000"/>
          <w:u w:val="none"/>
        </w:rPr>
        <w:t>весь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словарь </w:t>
      </w:r>
      <w:r>
        <w:rPr>
          <w:rFonts w:ascii="Times New Roman" w:hAnsi="Times New Roman" w:eastAsia="Times New Roman" w:cs="Times New Roman"/>
          <w:color w:val="000000"/>
          <w:u w:val="none"/>
        </w:rPr>
        <w:t>answers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и </w:t>
      </w:r>
      <w:r>
        <w:rPr>
          <w:rFonts w:ascii="Times New Roman" w:hAnsi="Times New Roman" w:eastAsia="Times New Roman" w:cs="Times New Roman"/>
          <w:color w:val="000000"/>
          <w:u w:val="none"/>
        </w:rPr>
        <w:t>expected_revision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. Ответ — новая revision. ID вопросов и строковые варианты берутся из полученной формы. </w:t>
      </w:r>
      <w:r>
        <w:rPr>
          <w:rFonts w:ascii="Times New Roman" w:hAnsi="Times New Roman" w:eastAsia="Times New Roman" w:cs="Times New Roman"/>
          <w:color w:val="000000"/>
          <w:u w:val="none"/>
        </w:rPr>
        <w:t>/candidate/active-assessment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возвращает активную форму либо JSON </w:t>
      </w:r>
      <w:r>
        <w:rPr>
          <w:rFonts w:ascii="Times New Roman" w:hAnsi="Times New Roman" w:eastAsia="Times New Roman" w:cs="Times New Roman"/>
          <w:color w:val="000000"/>
          <w:u w:val="none"/>
        </w:rPr>
        <w:t>null</w:t>
      </w:r>
      <w:r>
        <w:rPr>
          <w:rFonts w:ascii="Times New Roman" w:hAnsi="Times New Roman" w:eastAsia="Times New Roman" w:cs="Times New Roman"/>
          <w:color w:val="000000"/>
          <w:u w:val="none"/>
        </w:rPr>
        <w:t>; GET попытки восстанавливает черновик.</w:t>
      </w:r>
    </w:p>
    <w:p>
      <w:pPr>
        <w:pStyle w:val="GOSTList"/>
        <w:ind w:left="709"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4. </w:t>
      </w:r>
      <w:r>
        <w:rPr>
          <w:rFonts w:ascii="Times New Roman" w:hAnsi="Times New Roman" w:eastAsia="Times New Roman" w:cs="Times New Roman"/>
          <w:color w:val="000000"/>
          <w:u w:val="none"/>
        </w:rPr>
        <w:t>POST .../submit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принимает </w:t>
      </w:r>
      <w:r>
        <w:rPr>
          <w:rFonts w:ascii="Times New Roman" w:hAnsi="Times New Roman" w:eastAsia="Times New Roman" w:cs="Times New Roman"/>
          <w:color w:val="000000"/>
          <w:u w:val="none"/>
        </w:rPr>
        <w:t>{ "answers": {...} }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оценивает эти переданные ответы. Здесь нет revision и нет автоматической отправки сохранённого draft: передайте актуальный словарь явно. Клиентский </w:t>
      </w:r>
      <w:r>
        <w:rPr>
          <w:rFonts w:ascii="Times New Roman" w:hAnsi="Times New Roman" w:eastAsia="Times New Roman" w:cs="Times New Roman"/>
          <w:color w:val="000000"/>
          <w:u w:val="none"/>
        </w:rPr>
        <w:t>score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запрещён.</w:t>
      </w:r>
    </w:p>
    <w:p>
      <w:pPr>
        <w:pStyle w:val="GOSTList"/>
        <w:ind w:left="709"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5. </w:t>
      </w:r>
      <w:r>
        <w:rPr>
          <w:rFonts w:ascii="Times New Roman" w:hAnsi="Times New Roman" w:eastAsia="Times New Roman" w:cs="Times New Roman"/>
          <w:color w:val="000000"/>
          <w:u w:val="none"/>
        </w:rPr>
        <w:t>AssessmentResultView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содержит </w:t>
      </w:r>
      <w:r>
        <w:rPr>
          <w:rFonts w:ascii="Times New Roman" w:hAnsi="Times New Roman" w:eastAsia="Times New Roman" w:cs="Times New Roman"/>
          <w:color w:val="000000"/>
          <w:u w:val="none"/>
        </w:rPr>
        <w:t>score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skills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passed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version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limitation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demo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при наличии — </w:t>
      </w:r>
      <w:r>
        <w:rPr>
          <w:rFonts w:ascii="Times New Roman" w:hAnsi="Times New Roman" w:eastAsia="Times New Roman" w:cs="Times New Roman"/>
          <w:color w:val="000000"/>
          <w:u w:val="none"/>
        </w:rPr>
        <w:t>breakdown</w:t>
      </w:r>
      <w:r>
        <w:rPr>
          <w:rFonts w:ascii="Times New Roman" w:hAnsi="Times New Roman" w:eastAsia="Times New Roman" w:cs="Times New Roman"/>
          <w:color w:val="000000"/>
          <w:u w:val="none"/>
        </w:rPr>
        <w:t>. Повтор submit возвращает тот же сохранённый результат. Успех подтверждает категорию; провал сохраняет прежний подтверждённый результат. Форма действительна 60 минут.</w:t>
      </w:r>
    </w:p>
    <w:p>
      <w:pPr>
        <w:pStyle w:val="GOSTList"/>
        <w:ind w:left="709"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6. </w:t>
      </w:r>
      <w:r>
        <w:rPr>
          <w:rFonts w:ascii="Times New Roman" w:hAnsi="Times New Roman" w:eastAsia="Times New Roman" w:cs="Times New Roman"/>
          <w:color w:val="000000"/>
          <w:u w:val="none"/>
        </w:rPr>
        <w:t>POST /assessments/attempts/{id}/integrity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принимает </w:t>
      </w:r>
      <w:r>
        <w:rPr>
          <w:rFonts w:ascii="Times New Roman" w:hAnsi="Times New Roman" w:eastAsia="Times New Roman" w:cs="Times New Roman"/>
          <w:color w:val="000000"/>
          <w:u w:val="none"/>
        </w:rPr>
        <w:t>IntegrityBatch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: от 1 до 100 событий </w:t>
      </w:r>
      <w:r>
        <w:rPr>
          <w:rFonts w:ascii="Times New Roman" w:hAnsi="Times New Roman" w:eastAsia="Times New Roman" w:cs="Times New Roman"/>
          <w:color w:val="000000"/>
          <w:u w:val="none"/>
        </w:rPr>
        <w:t>{type,t,d?,q?}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. Это технические сигналы открытой попытки, а не ответы: </w:t>
      </w:r>
      <w:r>
        <w:rPr>
          <w:rFonts w:ascii="Times New Roman" w:hAnsi="Times New Roman" w:eastAsia="Times New Roman" w:cs="Times New Roman"/>
          <w:color w:val="000000"/>
          <w:u w:val="none"/>
        </w:rPr>
        <w:t>t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— миллисекунды от её открытия, </w:t>
      </w:r>
      <w:r>
        <w:rPr>
          <w:rFonts w:ascii="Times New Roman" w:hAnsi="Times New Roman" w:eastAsia="Times New Roman" w:cs="Times New Roman"/>
          <w:color w:val="000000"/>
          <w:u w:val="none"/>
        </w:rPr>
        <w:t>d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— длительность возврата на вкладку, </w:t>
      </w:r>
      <w:r>
        <w:rPr>
          <w:rFonts w:ascii="Times New Roman" w:hAnsi="Times New Roman" w:eastAsia="Times New Roman" w:cs="Times New Roman"/>
          <w:color w:val="000000"/>
          <w:u w:val="none"/>
        </w:rPr>
        <w:t>q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разрешён только для ответа. Ответ 202 </w:t>
      </w:r>
      <w:r>
        <w:rPr>
          <w:rFonts w:ascii="Times New Roman" w:hAnsi="Times New Roman" w:eastAsia="Times New Roman" w:cs="Times New Roman"/>
          <w:color w:val="000000"/>
          <w:u w:val="none"/>
        </w:rPr>
        <w:t>IntegrityAck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содержит число сохранённых событий. Только владелец активной попытки может передать пакет; чужая или завершённая попытка не принимается. Ограничение — 60 запросов в минуту на вошедшего пользователя; при превышении возвращается 429 с </w:t>
      </w:r>
      <w:r>
        <w:rPr>
          <w:rFonts w:ascii="Times New Roman" w:hAnsi="Times New Roman" w:eastAsia="Times New Roman" w:cs="Times New Roman"/>
          <w:color w:val="000000"/>
          <w:u w:val="none"/>
        </w:rPr>
        <w:t>Retry-After: 60</w:t>
      </w:r>
      <w:r>
        <w:rPr>
          <w:rFonts w:ascii="Times New Roman" w:hAnsi="Times New Roman" w:eastAsia="Times New Roman" w:cs="Times New Roman"/>
          <w:color w:val="000000"/>
          <w:u w:val="none"/>
        </w:rPr>
        <w:t>. Счётчики ограничены сверху, переполнение становится сигналом и не отключает регистрацию последующих copy-событий.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 xml:space="preserve">В текущем Compose </w:t>
      </w:r>
      <w:r>
        <w:rPr>
          <w:rFonts w:ascii="Times New Roman" w:hAnsi="Times New Roman" w:eastAsia="Times New Roman" w:cs="Times New Roman"/>
          <w:color w:val="000000"/>
          <w:u w:val="none"/>
        </w:rPr>
        <w:t>FSP_INTEGRITY_ENFORCE=1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по умолчанию: проходной балл при </w:t>
      </w:r>
      <w:r>
        <w:rPr>
          <w:rFonts w:ascii="Times New Roman" w:hAnsi="Times New Roman" w:eastAsia="Times New Roman" w:cs="Times New Roman"/>
          <w:color w:val="000000"/>
          <w:u w:val="none"/>
        </w:rPr>
        <w:t>flagged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сохраняется, но подтверждение категории удерживается. Разрешена одна немедленная перепроверка; после второго удержания следующая форма доступна через 14 суток. Клиент перед submit ждёт отправки очереди сигналов с ограниченным сетевым таймаутом. Это эвристики; отсутствие сигналов не доказывает отсутствие внешней помощи. Быстрые автоматические UX-прогоны явно используют enforcement=0, а удержание проверяется отдельными API-регрессиями. Сигналы и их пределы описаны в </w:t>
      </w:r>
      <w:hyperlink r:id="rId15">
        <w:r>
          <w:rPr>
            <w:rFonts w:ascii="Times New Roman" w:hAnsi="Times New Roman" w:eastAsia="Times New Roman" w:cs="Times New Roman"/>
            <w:color w:val="000000"/>
            <w:u w:val="none"/>
          </w:rPr>
          <w:t xml:space="preserve">актуальное руководство</w:t>
        </w:r>
      </w:hyperlink>
      <w:r>
        <w:rPr>
          <w:rFonts w:ascii="Times New Roman" w:hAnsi="Times New Roman" w:eastAsia="Times New Roman" w:cs="Times New Roman"/>
          <w:color w:val="000000"/>
          <w:u w:val="none"/>
        </w:rPr>
        <w:t>; они не раскрывают текст ответа и при обычном demo-режиме сами по себе не блокируют грейд.</w:t>
      </w:r>
    </w:p>
    <w:p>
      <w:pPr>
        <w:pStyle w:val="GOSTList"/>
        <w:ind w:left="709"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7. </w:t>
      </w:r>
      <w:r>
        <w:rPr>
          <w:rFonts w:ascii="Times New Roman" w:hAnsi="Times New Roman" w:eastAsia="Times New Roman" w:cs="Times New Roman"/>
          <w:color w:val="000000"/>
          <w:u w:val="none"/>
        </w:rPr>
        <w:t>POST /candidate/consents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с </w:t>
      </w:r>
      <w:r>
        <w:rPr>
          <w:rFonts w:ascii="Times New Roman" w:hAnsi="Times New Roman" w:eastAsia="Times New Roman" w:cs="Times New Roman"/>
          <w:color w:val="000000"/>
          <w:u w:val="none"/>
        </w:rPr>
        <w:t>published:true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и </w:t>
      </w:r>
      <w:r>
        <w:rPr>
          <w:rFonts w:ascii="Times New Roman" w:hAnsi="Times New Roman" w:eastAsia="Times New Roman" w:cs="Times New Roman"/>
          <w:color w:val="000000"/>
          <w:u w:val="none"/>
        </w:rPr>
        <w:t>text_version=demo-consent-v1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включает поиск только после подтверждения. </w:t>
      </w:r>
      <w:r>
        <w:rPr>
          <w:rFonts w:ascii="Times New Roman" w:hAnsi="Times New Roman" w:eastAsia="Times New Roman" w:cs="Times New Roman"/>
          <w:color w:val="000000"/>
          <w:u w:val="none"/>
        </w:rPr>
        <w:t>published:false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снимает профиль с текущего поиска, shortlist и старых подборок. Уже выданный контакт управляется отдельным отзывом, см. ниже.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 xml:space="preserve">Повтор по тому же грейду/направлению — через 14 суток после submit; живая форма возвращается повторным start. Смена подтверждённого грейда — не чаще 90 суток. Отсутствие подтверждения не компенсируется достижениями ФСП. История доступна через </w:t>
      </w:r>
      <w:r>
        <w:rPr>
          <w:rFonts w:ascii="Times New Roman" w:hAnsi="Times New Roman" w:eastAsia="Times New Roman" w:cs="Times New Roman"/>
          <w:color w:val="000000"/>
          <w:u w:val="none"/>
        </w:rPr>
        <w:t>/candidate/assessment-history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. Проверки сопоставимости на синтетике не являются независимой профессиональной аттестацией. Техническая проверка параметризации и устойчивости вариантов описана в </w:t>
      </w:r>
      <w:hyperlink r:id="rId15">
        <w:r>
          <w:rPr>
            <w:rFonts w:ascii="Times New Roman" w:hAnsi="Times New Roman" w:eastAsia="Times New Roman" w:cs="Times New Roman"/>
            <w:color w:val="000000"/>
            <w:u w:val="none"/>
          </w:rPr>
          <w:t xml:space="preserve">актуальное руководство</w:t>
        </w:r>
      </w:hyperlink>
      <w:r>
        <w:rPr>
          <w:rFonts w:ascii="Times New Roman" w:hAnsi="Times New Roman" w:eastAsia="Times New Roman" w:cs="Times New Roman"/>
          <w:color w:val="000000"/>
          <w:u w:val="none"/>
        </w:rPr>
        <w:t xml:space="preserve">, включая сохранённые исторические v5 и текущую v6. Это не гарантия защиты от внешней помощи или равной сложности. Junior/Middle не калиброваны. Независимый пилот пока только пустой шаблон и анализатор в </w:t>
      </w:r>
      <w:r>
        <w:rPr>
          <w:rFonts w:ascii="Times New Roman" w:hAnsi="Times New Roman" w:eastAsia="Times New Roman" w:cs="Times New Roman"/>
          <w:color w:val="000000"/>
          <w:u w:val="none"/>
        </w:rPr>
        <w:t>requirements/pilot/</w:t>
      </w:r>
      <w:r>
        <w:rPr>
          <w:rFonts w:ascii="Times New Roman" w:hAnsi="Times New Roman" w:eastAsia="Times New Roman" w:cs="Times New Roman"/>
          <w:color w:val="000000"/>
          <w:u w:val="none"/>
        </w:rPr>
        <w:t>.</w:t>
      </w:r>
    </w:p>
    <w:p>
      <w:pPr>
        <w:pStyle w:val="Heading2"/>
      </w:pPr>
      <w:r>
        <w:rPr>
          <w:rFonts w:ascii="Times New Roman" w:hAnsi="Times New Roman" w:eastAsia="Times New Roman" w:cs="Times New Roman"/>
          <w:color w:val="000000"/>
          <w:u w:val="none"/>
        </w:rPr>
        <w:t>7. Подбор, предложение и контакт — основной сценарий ТЗ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 xml:space="preserve">Работодатель сохраняет свой </w:t>
      </w:r>
      <w:r>
        <w:rPr>
          <w:rFonts w:ascii="Times New Roman" w:hAnsi="Times New Roman" w:eastAsia="Times New Roman" w:cs="Times New Roman"/>
          <w:color w:val="000000"/>
          <w:u w:val="none"/>
        </w:rPr>
        <w:t>CompanyInput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и, при необходимости, </w:t>
      </w:r>
      <w:r>
        <w:rPr>
          <w:rFonts w:ascii="Times New Roman" w:hAnsi="Times New Roman" w:eastAsia="Times New Roman" w:cs="Times New Roman"/>
          <w:color w:val="000000"/>
          <w:u w:val="none"/>
        </w:rPr>
        <w:t>NeedInput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. Потребность содержит поля </w:t>
      </w:r>
      <w:r>
        <w:rPr>
          <w:rFonts w:ascii="Times New Roman" w:hAnsi="Times New Roman" w:eastAsia="Times New Roman" w:cs="Times New Roman"/>
          <w:color w:val="000000"/>
          <w:u w:val="none"/>
        </w:rPr>
        <w:t>SearchInput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плюс </w:t>
      </w:r>
      <w:r>
        <w:rPr>
          <w:rFonts w:ascii="Times New Roman" w:hAnsi="Times New Roman" w:eastAsia="Times New Roman" w:cs="Times New Roman"/>
          <w:color w:val="000000"/>
          <w:u w:val="none"/>
        </w:rPr>
        <w:t>title/description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. </w:t>
      </w:r>
      <w:r>
        <w:rPr>
          <w:rFonts w:ascii="Times New Roman" w:hAnsi="Times New Roman" w:eastAsia="Times New Roman" w:cs="Times New Roman"/>
          <w:color w:val="000000"/>
          <w:u w:val="none"/>
        </w:rPr>
        <w:t>POST /company/searches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принимает специализацию, подтверждённый грейд, </w:t>
      </w:r>
      <w:r>
        <w:rPr>
          <w:rFonts w:ascii="Times New Roman" w:hAnsi="Times New Roman" w:eastAsia="Times New Roman" w:cs="Times New Roman"/>
          <w:color w:val="000000"/>
          <w:u w:val="none"/>
        </w:rPr>
        <w:t>must_skills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desired_skills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work_tasks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верхний бюджет </w:t>
      </w:r>
      <w:r>
        <w:rPr>
          <w:rFonts w:ascii="Times New Roman" w:hAnsi="Times New Roman" w:eastAsia="Times New Roman" w:cs="Times New Roman"/>
          <w:color w:val="000000"/>
          <w:u w:val="none"/>
        </w:rPr>
        <w:t>salary_to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format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fsp_only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. Ответ 201 </w:t>
      </w:r>
      <w:r>
        <w:rPr>
          <w:rFonts w:ascii="Times New Roman" w:hAnsi="Times New Roman" w:eastAsia="Times New Roman" w:cs="Times New Roman"/>
          <w:color w:val="000000"/>
          <w:u w:val="none"/>
        </w:rPr>
        <w:t>SearchResultView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содержит </w:t>
      </w:r>
      <w:r>
        <w:rPr>
          <w:rFonts w:ascii="Times New Roman" w:hAnsi="Times New Roman" w:eastAsia="Times New Roman" w:cs="Times New Roman"/>
          <w:color w:val="000000"/>
          <w:u w:val="none"/>
        </w:rPr>
        <w:t>id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candidate_ids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rows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created_at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algorithm_version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demo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. В строках — подтверждённые демо-оценкой навыки, </w:t>
      </w:r>
      <w:r>
        <w:rPr>
          <w:rFonts w:ascii="Times New Roman" w:hAnsi="Times New Roman" w:eastAsia="Times New Roman" w:cs="Times New Roman"/>
          <w:color w:val="000000"/>
          <w:u w:val="none"/>
        </w:rPr>
        <w:t>skill_evidence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объяснение </w:t>
      </w:r>
      <w:r>
        <w:rPr>
          <w:rFonts w:ascii="Times New Roman" w:hAnsi="Times New Roman" w:eastAsia="Times New Roman" w:cs="Times New Roman"/>
          <w:color w:val="000000"/>
          <w:u w:val="none"/>
        </w:rPr>
        <w:t>matched/missing/components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и </w:t>
      </w:r>
      <w:r>
        <w:rPr>
          <w:rFonts w:ascii="Times New Roman" w:hAnsi="Times New Roman" w:eastAsia="Times New Roman" w:cs="Times New Roman"/>
          <w:color w:val="000000"/>
          <w:u w:val="none"/>
        </w:rPr>
        <w:t>work_matches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итоговый </w:t>
      </w:r>
      <w:r>
        <w:rPr>
          <w:rFonts w:ascii="Times New Roman" w:hAnsi="Times New Roman" w:eastAsia="Times New Roman" w:cs="Times New Roman"/>
          <w:color w:val="000000"/>
          <w:u w:val="none"/>
        </w:rPr>
        <w:t>score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и </w:t>
      </w:r>
      <w:r>
        <w:rPr>
          <w:rFonts w:ascii="Times New Roman" w:hAnsi="Times New Roman" w:eastAsia="Times New Roman" w:cs="Times New Roman"/>
          <w:color w:val="000000"/>
          <w:u w:val="none"/>
        </w:rPr>
        <w:t>fsp_bonus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а </w:t>
      </w:r>
      <w:r>
        <w:rPr>
          <w:rFonts w:ascii="Times New Roman" w:hAnsi="Times New Roman" w:eastAsia="Times New Roman" w:cs="Times New Roman"/>
          <w:b/>
          <w:color w:val="000000"/>
          <w:u w:val="none"/>
        </w:rPr>
        <w:t>не контакты</w:t>
      </w:r>
      <w:r>
        <w:rPr>
          <w:rFonts w:ascii="Times New Roman" w:hAnsi="Times New Roman" w:eastAsia="Times New Roman" w:cs="Times New Roman"/>
          <w:color w:val="000000"/>
          <w:u w:val="none"/>
        </w:rPr>
        <w:t>. Вес ранжирования: оценка 45%, навыки 35%, ФСП 10%, актуальность 10%.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>SearchInput.work_tasks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— до шести ID задач выбранной специализации из каталога </w:t>
      </w:r>
      <w:r>
        <w:rPr>
          <w:rFonts w:ascii="Times New Roman" w:hAnsi="Times New Roman" w:eastAsia="Times New Roman" w:cs="Times New Roman"/>
          <w:color w:val="000000"/>
          <w:u w:val="none"/>
        </w:rPr>
        <w:t>team-work-v1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по умолчанию </w:t>
      </w:r>
      <w:r>
        <w:rPr>
          <w:rFonts w:ascii="Times New Roman" w:hAnsi="Times New Roman" w:eastAsia="Times New Roman" w:cs="Times New Roman"/>
          <w:color w:val="000000"/>
          <w:u w:val="none"/>
        </w:rPr>
        <w:t>[]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. Повторы удаляются; неизвестный ID или задача другой специализации дают 422. Например, Backend: </w:t>
      </w:r>
      <w:r>
        <w:rPr>
          <w:rFonts w:ascii="Times New Roman" w:hAnsi="Times New Roman" w:eastAsia="Times New Roman" w:cs="Times New Roman"/>
          <w:color w:val="000000"/>
          <w:u w:val="none"/>
        </w:rPr>
        <w:t>["api-development", "sql-reporting"]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. Связанные навыки добавляются к желательному совпадению, без изменения переданных </w:t>
      </w:r>
      <w:r>
        <w:rPr>
          <w:rFonts w:ascii="Times New Roman" w:hAnsi="Times New Roman" w:eastAsia="Times New Roman" w:cs="Times New Roman"/>
          <w:color w:val="000000"/>
          <w:u w:val="none"/>
        </w:rPr>
        <w:t>must_skills/desired_skills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и жёстких фильтров. Заявленные технологии и практика не подменяют их.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 xml:space="preserve">Элемент </w:t>
      </w:r>
      <w:r>
        <w:rPr>
          <w:rFonts w:ascii="Times New Roman" w:hAnsi="Times New Roman" w:eastAsia="Times New Roman" w:cs="Times New Roman"/>
          <w:color w:val="000000"/>
          <w:u w:val="none"/>
        </w:rPr>
        <w:t>WorkTaskMatchView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в </w:t>
      </w:r>
      <w:r>
        <w:rPr>
          <w:rFonts w:ascii="Times New Roman" w:hAnsi="Times New Roman" w:eastAsia="Times New Roman" w:cs="Times New Roman"/>
          <w:color w:val="000000"/>
          <w:u w:val="none"/>
        </w:rPr>
        <w:t>work_matches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содержит </w:t>
      </w:r>
      <w:r>
        <w:rPr>
          <w:rFonts w:ascii="Times New Roman" w:hAnsi="Times New Roman" w:eastAsia="Times New Roman" w:cs="Times New Roman"/>
          <w:color w:val="000000"/>
          <w:u w:val="none"/>
        </w:rPr>
        <w:t>id/label/required_skills/matched_skills/missing_skills/status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. </w:t>
      </w:r>
      <w:r>
        <w:rPr>
          <w:rFonts w:ascii="Times New Roman" w:hAnsi="Times New Roman" w:eastAsia="Times New Roman" w:cs="Times New Roman"/>
          <w:color w:val="000000"/>
          <w:u w:val="none"/>
        </w:rPr>
        <w:t>status=covered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означает отсутствие пробелов в ограниченной оценочной матрице; </w:t>
      </w:r>
      <w:r>
        <w:rPr>
          <w:rFonts w:ascii="Times New Roman" w:hAnsi="Times New Roman" w:eastAsia="Times New Roman" w:cs="Times New Roman"/>
          <w:color w:val="000000"/>
          <w:u w:val="none"/>
        </w:rPr>
        <w:t>partial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— есть совпадения и пробелы; </w:t>
      </w:r>
      <w:r>
        <w:rPr>
          <w:rFonts w:ascii="Times New Roman" w:hAnsi="Times New Roman" w:eastAsia="Times New Roman" w:cs="Times New Roman"/>
          <w:color w:val="000000"/>
          <w:u w:val="none"/>
        </w:rPr>
        <w:t>gap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— совпадений нет. Это объяснение соответствия навыков, а не подтверждение рабочего опыта. При выборе задач </w:t>
      </w:r>
      <w:r>
        <w:rPr>
          <w:rFonts w:ascii="Times New Roman" w:hAnsi="Times New Roman" w:eastAsia="Times New Roman" w:cs="Times New Roman"/>
          <w:color w:val="000000"/>
          <w:u w:val="none"/>
        </w:rPr>
        <w:t>algorithm_version=weighted-v1+team-work-v1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иначе </w:t>
      </w:r>
      <w:r>
        <w:rPr>
          <w:rFonts w:ascii="Times New Roman" w:hAnsi="Times New Roman" w:eastAsia="Times New Roman" w:cs="Times New Roman"/>
          <w:color w:val="000000"/>
          <w:u w:val="none"/>
        </w:rPr>
        <w:t>weighted-v1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. Выбор сохраняется в потребности и </w:t>
      </w:r>
      <w:r>
        <w:rPr>
          <w:rFonts w:ascii="Times New Roman" w:hAnsi="Times New Roman" w:eastAsia="Times New Roman" w:cs="Times New Roman"/>
          <w:color w:val="000000"/>
          <w:u w:val="none"/>
        </w:rPr>
        <w:t>query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истории поиска; объяснение </w:t>
      </w:r>
      <w:r>
        <w:rPr>
          <w:rFonts w:ascii="Times New Roman" w:hAnsi="Times New Roman" w:eastAsia="Times New Roman" w:cs="Times New Roman"/>
          <w:color w:val="000000"/>
          <w:u w:val="none"/>
        </w:rPr>
        <w:t>work_matches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сохраняется вместе с исходными баллами. Legacy snapshot без новых полей читается без выдуманного исторического объяснения.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 xml:space="preserve">GET </w:t>
      </w:r>
      <w:r>
        <w:rPr>
          <w:rFonts w:ascii="Times New Roman" w:hAnsi="Times New Roman" w:eastAsia="Times New Roman" w:cs="Times New Roman"/>
          <w:color w:val="000000"/>
          <w:u w:val="none"/>
        </w:rPr>
        <w:t>/company/searches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даёт последние десять собственных поисков. GET </w:t>
      </w:r>
      <w:r>
        <w:rPr>
          <w:rFonts w:ascii="Times New Roman" w:hAnsi="Times New Roman" w:eastAsia="Times New Roman" w:cs="Times New Roman"/>
          <w:color w:val="000000"/>
          <w:u w:val="none"/>
        </w:rPr>
        <w:t>/company/searches/page?offset=0&amp;limit=8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возвращает </w:t>
      </w:r>
      <w:r>
        <w:rPr>
          <w:rFonts w:ascii="Times New Roman" w:hAnsi="Times New Roman" w:eastAsia="Times New Roman" w:cs="Times New Roman"/>
          <w:color w:val="000000"/>
          <w:u w:val="none"/>
        </w:rPr>
        <w:t>SearchHistoryPage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: </w:t>
      </w:r>
      <w:r>
        <w:rPr>
          <w:rFonts w:ascii="Times New Roman" w:hAnsi="Times New Roman" w:eastAsia="Times New Roman" w:cs="Times New Roman"/>
          <w:color w:val="000000"/>
          <w:u w:val="none"/>
        </w:rPr>
        <w:t>items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(те же </w:t>
      </w:r>
      <w:r>
        <w:rPr>
          <w:rFonts w:ascii="Times New Roman" w:hAnsi="Times New Roman" w:eastAsia="Times New Roman" w:cs="Times New Roman"/>
          <w:color w:val="000000"/>
          <w:u w:val="none"/>
        </w:rPr>
        <w:t>SearchSnapshotView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), </w:t>
      </w:r>
      <w:r>
        <w:rPr>
          <w:rFonts w:ascii="Times New Roman" w:hAnsi="Times New Roman" w:eastAsia="Times New Roman" w:cs="Times New Roman"/>
          <w:color w:val="000000"/>
          <w:u w:val="none"/>
        </w:rPr>
        <w:t>total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offset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limit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. </w:t>
      </w:r>
      <w:r>
        <w:rPr>
          <w:rFonts w:ascii="Times New Roman" w:hAnsi="Times New Roman" w:eastAsia="Times New Roman" w:cs="Times New Roman"/>
          <w:color w:val="000000"/>
          <w:u w:val="none"/>
        </w:rPr>
        <w:t>offset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в диапазоне 0–2 147 483 647, </w:t>
      </w:r>
      <w:r>
        <w:rPr>
          <w:rFonts w:ascii="Times New Roman" w:hAnsi="Times New Roman" w:eastAsia="Times New Roman" w:cs="Times New Roman"/>
          <w:color w:val="000000"/>
          <w:u w:val="none"/>
        </w:rPr>
        <w:t>limit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1–100, по умолчанию 8. Отрицательные/некорректные параметры — 422; страницы за концом списка возвращают пустые </w:t>
      </w:r>
      <w:r>
        <w:rPr>
          <w:rFonts w:ascii="Times New Roman" w:hAnsi="Times New Roman" w:eastAsia="Times New Roman" w:cs="Times New Roman"/>
          <w:color w:val="000000"/>
          <w:u w:val="none"/>
        </w:rPr>
        <w:t>items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с текущим </w:t>
      </w:r>
      <w:r>
        <w:rPr>
          <w:rFonts w:ascii="Times New Roman" w:hAnsi="Times New Roman" w:eastAsia="Times New Roman" w:cs="Times New Roman"/>
          <w:color w:val="000000"/>
          <w:u w:val="none"/>
        </w:rPr>
        <w:t>total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. Доступ только работодателю к своей истории; порядок — </w:t>
      </w:r>
      <w:r>
        <w:rPr>
          <w:rFonts w:ascii="Times New Roman" w:hAnsi="Times New Roman" w:eastAsia="Times New Roman" w:cs="Times New Roman"/>
          <w:color w:val="000000"/>
          <w:u w:val="none"/>
        </w:rPr>
        <w:t>created_at DESC, id DESC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. При новых поисках между запросами offset-страницы могут сдвинуться; интерфейс после создания подборки открывает первую страницу. Прежний list-маршрут сохраняется для совместимости. GET </w:t>
      </w:r>
      <w:r>
        <w:rPr>
          <w:rFonts w:ascii="Times New Roman" w:hAnsi="Times New Roman" w:eastAsia="Times New Roman" w:cs="Times New Roman"/>
          <w:color w:val="000000"/>
          <w:u w:val="none"/>
        </w:rPr>
        <w:t>/company/searches/{search_id}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сохраняет исторический порядок/объяснение, но проверяет текущую публикацию заново. </w:t>
      </w:r>
      <w:r>
        <w:rPr>
          <w:rFonts w:ascii="Times New Roman" w:hAnsi="Times New Roman" w:eastAsia="Times New Roman" w:cs="Times New Roman"/>
          <w:color w:val="000000"/>
          <w:u w:val="none"/>
        </w:rPr>
        <w:t>historical_explanation:false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означает legacy-снимок без исходных баллов; они не выдумываются. Shortlist принадлежит компании, операции PUT/DELETE возвращают 204.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>POST /company/invitations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принимает </w:t>
      </w:r>
      <w:r>
        <w:rPr>
          <w:rFonts w:ascii="Times New Roman" w:hAnsi="Times New Roman" w:eastAsia="Times New Roman" w:cs="Times New Roman"/>
          <w:color w:val="000000"/>
          <w:u w:val="none"/>
        </w:rPr>
        <w:t>candidate_id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description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salary_from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salary_to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salary_basis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(</w:t>
      </w:r>
      <w:r>
        <w:rPr>
          <w:rFonts w:ascii="Times New Roman" w:hAnsi="Times New Roman" w:eastAsia="Times New Roman" w:cs="Times New Roman"/>
          <w:color w:val="000000"/>
          <w:u w:val="none"/>
        </w:rPr>
        <w:t>gross/net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), необязательный </w:t>
      </w:r>
      <w:r>
        <w:rPr>
          <w:rFonts w:ascii="Times New Roman" w:hAnsi="Times New Roman" w:eastAsia="Times New Roman" w:cs="Times New Roman"/>
          <w:color w:val="000000"/>
          <w:u w:val="none"/>
        </w:rPr>
        <w:t>vacancy_id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. Зарплата — целое 1–10000000 RUB, верхняя граница не ниже нижней; описание 20–4000 символов. Профиль должен быть опубликован и подтверждён. Если передана вакансия, она должна принадлежать отправителю и быть опубликована. Обязательный заголовок </w:t>
      </w:r>
      <w:r>
        <w:rPr>
          <w:rFonts w:ascii="Times New Roman" w:hAnsi="Times New Roman" w:eastAsia="Times New Roman" w:cs="Times New Roman"/>
          <w:color w:val="000000"/>
          <w:u w:val="none"/>
        </w:rPr>
        <w:t>Idempotency-Key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— 8–128 символов: тот же ключ/тело возвращает прежнее предложение с 201; иное тело под тем же ключом — 409. Вакансия не обязательна: предложение компании непосредственно кандидату остаётся основным сценарием, а не витриной сторонних вакансий.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>InvitationView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включает компанию и способ связи, кандидата/alias, описание, зарплату и </w:t>
      </w:r>
      <w:r>
        <w:rPr>
          <w:rFonts w:ascii="Times New Roman" w:hAnsi="Times New Roman" w:eastAsia="Times New Roman" w:cs="Times New Roman"/>
          <w:color w:val="000000"/>
          <w:u w:val="none"/>
        </w:rPr>
        <w:t>currency=RUB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status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expires_at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contact_revoked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demo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. Поле </w:t>
      </w:r>
      <w:r>
        <w:rPr>
          <w:rFonts w:ascii="Times New Roman" w:hAnsi="Times New Roman" w:eastAsia="Times New Roman" w:cs="Times New Roman"/>
          <w:color w:val="000000"/>
          <w:u w:val="none"/>
        </w:rPr>
        <w:t>contact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необязательное и выдаётся работодателю при наличии его grant. Срок предложения — семь суток. Состояния: </w:t>
      </w:r>
      <w:r>
        <w:rPr>
          <w:rFonts w:ascii="Times New Roman" w:hAnsi="Times New Roman" w:eastAsia="Times New Roman" w:cs="Times New Roman"/>
          <w:color w:val="000000"/>
          <w:u w:val="none"/>
        </w:rPr>
        <w:t>sent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→ </w:t>
      </w:r>
      <w:r>
        <w:rPr>
          <w:rFonts w:ascii="Times New Roman" w:hAnsi="Times New Roman" w:eastAsia="Times New Roman" w:cs="Times New Roman"/>
          <w:color w:val="000000"/>
          <w:u w:val="none"/>
        </w:rPr>
        <w:t>viewed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→ </w:t>
      </w:r>
      <w:r>
        <w:rPr>
          <w:rFonts w:ascii="Times New Roman" w:hAnsi="Times New Roman" w:eastAsia="Times New Roman" w:cs="Times New Roman"/>
          <w:color w:val="000000"/>
          <w:u w:val="none"/>
        </w:rPr>
        <w:t>accepted/declined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; отправитель может перевести </w:t>
      </w:r>
      <w:r>
        <w:rPr>
          <w:rFonts w:ascii="Times New Roman" w:hAnsi="Times New Roman" w:eastAsia="Times New Roman" w:cs="Times New Roman"/>
          <w:color w:val="000000"/>
          <w:u w:val="none"/>
        </w:rPr>
        <w:t>sent/viewed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в </w:t>
      </w:r>
      <w:r>
        <w:rPr>
          <w:rFonts w:ascii="Times New Roman" w:hAnsi="Times New Roman" w:eastAsia="Times New Roman" w:cs="Times New Roman"/>
          <w:color w:val="000000"/>
          <w:u w:val="none"/>
        </w:rPr>
        <w:t>withdrawn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. Просроченная открытая запись показывается как </w:t>
      </w:r>
      <w:r>
        <w:rPr>
          <w:rFonts w:ascii="Times New Roman" w:hAnsi="Times New Roman" w:eastAsia="Times New Roman" w:cs="Times New Roman"/>
          <w:color w:val="000000"/>
          <w:u w:val="none"/>
        </w:rPr>
        <w:t>expired</w:t>
      </w:r>
      <w:r>
        <w:rPr>
          <w:rFonts w:ascii="Times New Roman" w:hAnsi="Times New Roman" w:eastAsia="Times New Roman" w:cs="Times New Roman"/>
          <w:color w:val="000000"/>
          <w:u w:val="none"/>
        </w:rPr>
        <w:t>; принять её нельзя. Повтор той же terminal decision идемпотентен, противоположная — 409.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 xml:space="preserve">После accepted только соответствующая компания получает контакт через свои приглашения, detail/PDF профиля. Другая компания не наследует доступ. </w:t>
      </w:r>
      <w:r>
        <w:rPr>
          <w:rFonts w:ascii="Times New Roman" w:hAnsi="Times New Roman" w:eastAsia="Times New Roman" w:cs="Times New Roman"/>
          <w:color w:val="000000"/>
          <w:u w:val="none"/>
        </w:rPr>
        <w:t>DELETE /candidate/contacts/{company_id}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возвращает 204 и отзывает доступ по всем приглашениям/откликам этому получателю. Повторное принятие прежнего accepted не отменяет отзыв. Публикация профиля и контактный grant различаются: выключение поиска само по себе не отзывает ранее выданный контакт. PDF компании строится из разрешённой проекции; ранее скачанные файлы сервер не может отозвать с компьютера получателя.</w:t>
      </w:r>
    </w:p>
    <w:p>
      <w:pPr>
        <w:pStyle w:val="Heading2"/>
      </w:pPr>
      <w:r>
        <w:rPr>
          <w:rFonts w:ascii="Times New Roman" w:hAnsi="Times New Roman" w:eastAsia="Times New Roman" w:cs="Times New Roman"/>
          <w:color w:val="000000"/>
          <w:u w:val="none"/>
        </w:rPr>
        <w:t>8. Вакансии, самостоятельный отклик и короткие задания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 xml:space="preserve">Собственная вакансия </w:t>
      </w:r>
      <w:r>
        <w:rPr>
          <w:rFonts w:ascii="Times New Roman" w:hAnsi="Times New Roman" w:eastAsia="Times New Roman" w:cs="Times New Roman"/>
          <w:color w:val="000000"/>
          <w:u w:val="none"/>
        </w:rPr>
        <w:t>VacancyInput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имеет </w:t>
      </w:r>
      <w:r>
        <w:rPr>
          <w:rFonts w:ascii="Times New Roman" w:hAnsi="Times New Roman" w:eastAsia="Times New Roman" w:cs="Times New Roman"/>
          <w:color w:val="000000"/>
          <w:u w:val="none"/>
        </w:rPr>
        <w:t>draft/published/closed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специализацию/грейд, навыки, формат и обязательную зарплату. PUT требует актуальный </w:t>
      </w:r>
      <w:r>
        <w:rPr>
          <w:rFonts w:ascii="Times New Roman" w:hAnsi="Times New Roman" w:eastAsia="Times New Roman" w:cs="Times New Roman"/>
          <w:color w:val="000000"/>
          <w:u w:val="none"/>
        </w:rPr>
        <w:t>expected_version</w:t>
      </w:r>
      <w:r>
        <w:rPr>
          <w:rFonts w:ascii="Times New Roman" w:hAnsi="Times New Roman" w:eastAsia="Times New Roman" w:cs="Times New Roman"/>
          <w:color w:val="000000"/>
          <w:u w:val="none"/>
        </w:rPr>
        <w:t>; создание POST этого поля не требует. Чужая вакансия — 404, конфликт версии — 409. Кандидат видит опубликованные.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 xml:space="preserve">Добровольный POST </w:t>
      </w:r>
      <w:r>
        <w:rPr>
          <w:rFonts w:ascii="Times New Roman" w:hAnsi="Times New Roman" w:eastAsia="Times New Roman" w:cs="Times New Roman"/>
          <w:color w:val="000000"/>
          <w:u w:val="none"/>
        </w:rPr>
        <w:t>/candidate/vacancies/{id}/apply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требует подтверждённого грейда и сразу разрешает контакт </w:t>
      </w:r>
      <w:r>
        <w:rPr>
          <w:rFonts w:ascii="Times New Roman" w:hAnsi="Times New Roman" w:eastAsia="Times New Roman" w:cs="Times New Roman"/>
          <w:b/>
          <w:color w:val="000000"/>
          <w:u w:val="none"/>
        </w:rPr>
        <w:t>компании этой вакансии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. </w:t>
      </w:r>
      <w:r>
        <w:rPr>
          <w:rFonts w:ascii="Times New Roman" w:hAnsi="Times New Roman" w:eastAsia="Times New Roman" w:cs="Times New Roman"/>
          <w:color w:val="000000"/>
          <w:u w:val="none"/>
        </w:rPr>
        <w:t>ApplicationView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сохраняет snapshot вакансии, </w:t>
      </w:r>
      <w:r>
        <w:rPr>
          <w:rFonts w:ascii="Times New Roman" w:hAnsi="Times New Roman" w:eastAsia="Times New Roman" w:cs="Times New Roman"/>
          <w:color w:val="000000"/>
          <w:u w:val="none"/>
        </w:rPr>
        <w:t>status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contact_revoked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даты и alias. Работодатель назначает </w:t>
      </w:r>
      <w:r>
        <w:rPr>
          <w:rFonts w:ascii="Times New Roman" w:hAnsi="Times New Roman" w:eastAsia="Times New Roman" w:cs="Times New Roman"/>
          <w:color w:val="000000"/>
          <w:u w:val="none"/>
        </w:rPr>
        <w:t>viewed/accepted/declined</w:t>
      </w:r>
      <w:r>
        <w:rPr>
          <w:rFonts w:ascii="Times New Roman" w:hAnsi="Times New Roman" w:eastAsia="Times New Roman" w:cs="Times New Roman"/>
          <w:color w:val="000000"/>
          <w:u w:val="none"/>
        </w:rPr>
        <w:t>; decline отзывает этот grant. Кандидат может сделать withdraw, повтор идемпотентен. Контакт может оставаться разрешённым по другому активному основанию той же компании; общий DELETE выше отзывает их все.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 xml:space="preserve">Короткие задания </w:t>
      </w:r>
      <w:r>
        <w:rPr>
          <w:rFonts w:ascii="Times New Roman" w:hAnsi="Times New Roman" w:eastAsia="Times New Roman" w:cs="Times New Roman"/>
          <w:color w:val="000000"/>
          <w:u w:val="none"/>
        </w:rPr>
        <w:t>/company/tasks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— отдельный простой формат текста с рубрикой, не constructor bank. Они предлагаются по подтверждённой специализации/грейду, не чаще раза в семь суток. Ответ 20–4000 символов; одинаковый повтор возвращает прежний ответ, изменение — 409. Автор оценивает 0–100 и оставляет feedback 20–2000 символов. Ручная оценка неизменна; score ≥70 обновляет </w:t>
      </w:r>
      <w:r>
        <w:rPr>
          <w:rFonts w:ascii="Times New Roman" w:hAnsi="Times New Roman" w:eastAsia="Times New Roman" w:cs="Times New Roman"/>
          <w:color w:val="000000"/>
          <w:u w:val="none"/>
        </w:rPr>
        <w:t>activity_at</w:t>
      </w:r>
      <w:r>
        <w:rPr>
          <w:rFonts w:ascii="Times New Roman" w:hAnsi="Times New Roman" w:eastAsia="Times New Roman" w:cs="Times New Roman"/>
          <w:color w:val="000000"/>
          <w:u w:val="none"/>
        </w:rPr>
        <w:t>, но не подтверждённый грейд или первичную оценку.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>GET /candidate/tasks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сохраняет </w:t>
      </w:r>
      <w:r>
        <w:rPr>
          <w:rFonts w:ascii="Times New Roman" w:hAnsi="Times New Roman" w:eastAsia="Times New Roman" w:cs="Times New Roman"/>
          <w:color w:val="000000"/>
          <w:u w:val="none"/>
        </w:rPr>
        <w:t>available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next_at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responses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и добавляет </w:t>
      </w:r>
      <w:r>
        <w:rPr>
          <w:rFonts w:ascii="Times New Roman" w:hAnsi="Times New Roman" w:eastAsia="Times New Roman" w:cs="Times New Roman"/>
          <w:color w:val="000000"/>
          <w:u w:val="none"/>
        </w:rPr>
        <w:t>recommendation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(либо null) и </w:t>
      </w:r>
      <w:r>
        <w:rPr>
          <w:rFonts w:ascii="Times New Roman" w:hAnsi="Times New Roman" w:eastAsia="Times New Roman" w:cs="Times New Roman"/>
          <w:color w:val="000000"/>
          <w:u w:val="none"/>
        </w:rPr>
        <w:t>recommendation_state</w:t>
      </w:r>
      <w:r>
        <w:rPr>
          <w:rFonts w:ascii="Times New Roman" w:hAnsi="Times New Roman" w:eastAsia="Times New Roman" w:cs="Times New Roman"/>
          <w:color w:val="000000"/>
          <w:u w:val="none"/>
        </w:rPr>
        <w:t>: offered, no-grade, cooldown, no-tasks. Рекомендация содержит id, публичное задание, начало недели UTC и начало следующей недели. Она формируется при открытии кабинета без записи в БД; учитывает подтверждённую категорию и предыдущие ответы. Изменение набора доступных заданий может обновить выбор. Фоновой доставки и закреплённого назначения нет. Рекомендованное задание стоит первым в каталоге.</w:t>
      </w:r>
    </w:p>
    <w:p>
      <w:pPr>
        <w:pStyle w:val="Heading2"/>
      </w:pPr>
      <w:r>
        <w:rPr>
          <w:rFonts w:ascii="Times New Roman" w:hAnsi="Times New Roman" w:eastAsia="Times New Roman" w:cs="Times New Roman"/>
          <w:color w:val="000000"/>
          <w:u w:val="none"/>
        </w:rPr>
        <w:t>9. Конструктор, публикации и импорт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 xml:space="preserve">Предложение ИИ: POST </w:t>
      </w:r>
      <w:r>
        <w:rPr>
          <w:rFonts w:ascii="Times New Roman" w:hAnsi="Times New Roman" w:eastAsia="Times New Roman" w:cs="Times New Roman"/>
          <w:color w:val="000000"/>
          <w:u w:val="none"/>
        </w:rPr>
        <w:t>/company/banks/{bank_id}/versions/{version_id}/suggest-task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принимает </w:t>
      </w:r>
      <w:r>
        <w:rPr>
          <w:rFonts w:ascii="Times New Roman" w:hAnsi="Times New Roman" w:eastAsia="Times New Roman" w:cs="Times New Roman"/>
          <w:color w:val="000000"/>
          <w:u w:val="none"/>
        </w:rPr>
        <w:t>revision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kind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(четыре типа без code), </w:t>
      </w:r>
      <w:r>
        <w:rPr>
          <w:rFonts w:ascii="Times New Roman" w:hAnsi="Times New Roman" w:eastAsia="Times New Roman" w:cs="Times New Roman"/>
          <w:color w:val="000000"/>
          <w:u w:val="none"/>
        </w:rPr>
        <w:t>specialization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grade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skills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и </w:t>
      </w:r>
      <w:r>
        <w:rPr>
          <w:rFonts w:ascii="Times New Roman" w:hAnsi="Times New Roman" w:eastAsia="Times New Roman" w:cs="Times New Roman"/>
          <w:color w:val="000000"/>
          <w:u w:val="none"/>
        </w:rPr>
        <w:t>brief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(10–1500 символов). Параметры должны совпадать с текущим draft. Возвращает </w:t>
      </w:r>
      <w:r>
        <w:rPr>
          <w:rFonts w:ascii="Times New Roman" w:hAnsi="Times New Roman" w:eastAsia="Times New Roman" w:cs="Times New Roman"/>
          <w:color w:val="000000"/>
          <w:u w:val="none"/>
        </w:rPr>
        <w:t>GenerationResult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: авторский </w:t>
      </w:r>
      <w:r>
        <w:rPr>
          <w:rFonts w:ascii="Times New Roman" w:hAnsi="Times New Roman" w:eastAsia="Times New Roman" w:cs="Times New Roman"/>
          <w:color w:val="000000"/>
          <w:u w:val="none"/>
        </w:rPr>
        <w:t>task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source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model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checks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review_required=true</w:t>
      </w:r>
      <w:r>
        <w:rPr>
          <w:rFonts w:ascii="Times New Roman" w:hAnsi="Times New Roman" w:eastAsia="Times New Roman" w:cs="Times New Roman"/>
          <w:color w:val="000000"/>
          <w:u w:val="none"/>
        </w:rPr>
        <w:t>. Не сохраняет предложение и не публикует набор. Проверить эталон/рубрику, затем добавить в собственный draft через обычный PATCH. Только внутренний адрес модели; 10 запросов/мин на автора, максимум два одновременно. 503 — модель выключена/недоступна/занята, 502 — неверный ответ модели, 409 — старая или опубликованная версия, 429 — лимит. Чужая компания получает 404.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 xml:space="preserve">Автор видит только свои банки; scope </w:t>
      </w:r>
      <w:r>
        <w:rPr>
          <w:rFonts w:ascii="Times New Roman" w:hAnsi="Times New Roman" w:eastAsia="Times New Roman" w:cs="Times New Roman"/>
          <w:color w:val="000000"/>
          <w:u w:val="none"/>
        </w:rPr>
        <w:t>platform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доступен лишь локальному demo-куратору </w:t>
      </w:r>
      <w:r>
        <w:rPr>
          <w:rFonts w:ascii="Times New Roman" w:hAnsi="Times New Roman" w:eastAsia="Times New Roman" w:cs="Times New Roman"/>
          <w:color w:val="000000"/>
          <w:u w:val="none"/>
        </w:rPr>
        <w:t>demo-employer-x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остальные используют </w:t>
      </w:r>
      <w:r>
        <w:rPr>
          <w:rFonts w:ascii="Times New Roman" w:hAnsi="Times New Roman" w:eastAsia="Times New Roman" w:cs="Times New Roman"/>
          <w:color w:val="000000"/>
          <w:u w:val="none"/>
        </w:rPr>
        <w:t>employer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. </w:t>
      </w:r>
      <w:r>
        <w:rPr>
          <w:rFonts w:ascii="Times New Roman" w:hAnsi="Times New Roman" w:eastAsia="Times New Roman" w:cs="Times New Roman"/>
          <w:color w:val="000000"/>
          <w:u w:val="none"/>
        </w:rPr>
        <w:t>BankCreate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: </w:t>
      </w:r>
      <w:r>
        <w:rPr>
          <w:rFonts w:ascii="Times New Roman" w:hAnsi="Times New Roman" w:eastAsia="Times New Roman" w:cs="Times New Roman"/>
          <w:color w:val="000000"/>
          <w:u w:val="none"/>
        </w:rPr>
        <w:t>title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specialization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grade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time_limit_minutes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tasks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необязательный </w:t>
      </w:r>
      <w:r>
        <w:rPr>
          <w:rFonts w:ascii="Times New Roman" w:hAnsi="Times New Roman" w:eastAsia="Times New Roman" w:cs="Times New Roman"/>
          <w:color w:val="000000"/>
          <w:u w:val="none"/>
        </w:rPr>
        <w:t>external_id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scope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. Пустой draft допустим. </w:t>
      </w:r>
      <w:r>
        <w:rPr>
          <w:rFonts w:ascii="Times New Roman" w:hAnsi="Times New Roman" w:eastAsia="Times New Roman" w:cs="Times New Roman"/>
          <w:color w:val="000000"/>
          <w:u w:val="none"/>
        </w:rPr>
        <w:t>BankView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содержит </w:t>
      </w:r>
      <w:r>
        <w:rPr>
          <w:rFonts w:ascii="Times New Roman" w:hAnsi="Times New Roman" w:eastAsia="Times New Roman" w:cs="Times New Roman"/>
          <w:color w:val="000000"/>
          <w:u w:val="none"/>
        </w:rPr>
        <w:t>current_version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и </w:t>
      </w:r>
      <w:r>
        <w:rPr>
          <w:rFonts w:ascii="Times New Roman" w:hAnsi="Times New Roman" w:eastAsia="Times New Roman" w:cs="Times New Roman"/>
          <w:color w:val="000000"/>
          <w:u w:val="none"/>
        </w:rPr>
        <w:t>versions</w:t>
      </w:r>
      <w:r>
        <w:rPr>
          <w:rFonts w:ascii="Times New Roman" w:hAnsi="Times New Roman" w:eastAsia="Times New Roman" w:cs="Times New Roman"/>
          <w:color w:val="000000"/>
          <w:u w:val="none"/>
        </w:rPr>
        <w:t>, новые номера идут первыми.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 xml:space="preserve">PATCH версии передаёт </w:t>
      </w:r>
      <w:r>
        <w:rPr>
          <w:rFonts w:ascii="Times New Roman" w:hAnsi="Times New Roman" w:eastAsia="Times New Roman" w:cs="Times New Roman"/>
          <w:b/>
          <w:color w:val="000000"/>
          <w:u w:val="none"/>
        </w:rPr>
        <w:t>полный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документ и актуальную </w:t>
      </w:r>
      <w:r>
        <w:rPr>
          <w:rFonts w:ascii="Times New Roman" w:hAnsi="Times New Roman" w:eastAsia="Times New Roman" w:cs="Times New Roman"/>
          <w:color w:val="000000"/>
          <w:u w:val="none"/>
        </w:rPr>
        <w:t>revision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а не набор частичных полей. Publish передаёт </w:t>
      </w:r>
      <w:r>
        <w:rPr>
          <w:rFonts w:ascii="Times New Roman" w:hAnsi="Times New Roman" w:eastAsia="Times New Roman" w:cs="Times New Roman"/>
          <w:color w:val="000000"/>
          <w:u w:val="none"/>
        </w:rPr>
        <w:t>{ "revision": N }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и проверяет достаточность условий, навыков, ключей/рубрик/примеров. Ошибка полноты — 422, stale revision или правка published — 409. Published-content не редактируется: fork создаёт новый draft (201), archive снимает опубликованную версию с новой выдачи. Архив не удаляет существующие попытки. Preview выдаёт </w:t>
      </w:r>
      <w:r>
        <w:rPr>
          <w:rFonts w:ascii="Times New Roman" w:hAnsi="Times New Roman" w:eastAsia="Times New Roman" w:cs="Times New Roman"/>
          <w:color w:val="000000"/>
          <w:u w:val="none"/>
        </w:rPr>
        <w:t>VersionPublic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без </w:t>
      </w:r>
      <w:r>
        <w:rPr>
          <w:rFonts w:ascii="Times New Roman" w:hAnsi="Times New Roman" w:eastAsia="Times New Roman" w:cs="Times New Roman"/>
          <w:color w:val="000000"/>
          <w:u w:val="none"/>
        </w:rPr>
        <w:t>answer_key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numeric_answer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hidden_tests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. Автор получает </w:t>
      </w:r>
      <w:r>
        <w:rPr>
          <w:rFonts w:ascii="Times New Roman" w:hAnsi="Times New Roman" w:eastAsia="Times New Roman" w:cs="Times New Roman"/>
          <w:color w:val="000000"/>
          <w:u w:val="none"/>
        </w:rPr>
        <w:t>VersionAuthor</w:t>
      </w:r>
      <w:r>
        <w:rPr>
          <w:rFonts w:ascii="Times New Roman" w:hAnsi="Times New Roman" w:eastAsia="Times New Roman" w:cs="Times New Roman"/>
          <w:color w:val="000000"/>
          <w:u w:val="none"/>
        </w:rPr>
        <w:t>.</w:t>
      </w:r>
    </w:p>
    <w:p>
      <w:pPr>
        <w:pStyle w:val="GOSTTableReference"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>Сведения приведены в таблице 2.</w:t>
      </w:r>
    </w:p>
    <w:p>
      <w:pPr>
        <w:pStyle w:val="GOSTTableCaption"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>Таблица 2 — Конструктор, публикации и импорт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cantSplit/>
          <w:tblHeader w:val="true"/>
        </w:trPr>
        <w:tc>
          <w:tcPr>
            <w:tcW w:type="dxa" w:w="141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Тип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Авторская проверка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Формат значения в answers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single_choice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≥2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options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, один ID в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answer_key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строка ID варианта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multiple_choice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ID вариантов, ключ;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partial_credit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массив различных ID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numeric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numeric_answer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absolute_tolerance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relative_tolerance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unit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конечное число или строка с единицей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open_response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текстовая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rubric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answer_limit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строка; проверяет автор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code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language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starter_code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, публичные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examples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hidden_tests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,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runtime_limits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строка исходного кода</w:t>
            </w:r>
          </w:p>
        </w:tc>
      </w:tr>
    </w:tbl>
    <w:p>
      <w:pPr>
        <w:spacing w:after="0"/>
        <w:ind w:firstLine="0"/>
      </w:pPr>
    </w:p>
    <w:p>
      <w:r>
        <w:rPr>
          <w:rFonts w:ascii="Times New Roman" w:hAnsi="Times New Roman" w:eastAsia="Times New Roman" w:cs="Times New Roman"/>
          <w:color w:val="000000"/>
          <w:u w:val="none"/>
        </w:rPr>
        <w:t xml:space="preserve">Для multiple-choice частичный балл при включении: </w:t>
      </w:r>
      <w:r>
        <w:rPr>
          <w:rFonts w:ascii="Times New Roman" w:hAnsi="Times New Roman" w:eastAsia="Times New Roman" w:cs="Times New Roman"/>
          <w:color w:val="000000"/>
          <w:u w:val="none"/>
        </w:rPr>
        <w:t>max(0, (верно выбранные − неверно выбранные) / количество ключей) × 100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. Иначе нужен точный набор. Numeric использует максимальную абсолютную/относительную погрешность. Итог банка — взвешенное среднее по </w:t>
      </w:r>
      <w:r>
        <w:rPr>
          <w:rFonts w:ascii="Times New Roman" w:hAnsi="Times New Roman" w:eastAsia="Times New Roman" w:cs="Times New Roman"/>
          <w:color w:val="000000"/>
          <w:u w:val="none"/>
        </w:rPr>
        <w:t>weight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; незавершённые задачи пока вносят 0 в число score, поэтому ориентируйтесь также на </w:t>
      </w:r>
      <w:r>
        <w:rPr>
          <w:rFonts w:ascii="Times New Roman" w:hAnsi="Times New Roman" w:eastAsia="Times New Roman" w:cs="Times New Roman"/>
          <w:color w:val="000000"/>
          <w:u w:val="none"/>
        </w:rPr>
        <w:t>completed/pending_count</w:t>
      </w:r>
      <w:r>
        <w:rPr>
          <w:rFonts w:ascii="Times New Roman" w:hAnsi="Times New Roman" w:eastAsia="Times New Roman" w:cs="Times New Roman"/>
          <w:color w:val="000000"/>
          <w:u w:val="none"/>
        </w:rPr>
        <w:t>.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>POST /company/bank-imports/dry-run?filename=...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принимает raw bytes, рекомендуемый </w:t>
      </w:r>
      <w:r>
        <w:rPr>
          <w:rFonts w:ascii="Times New Roman" w:hAnsi="Times New Roman" w:eastAsia="Times New Roman" w:cs="Times New Roman"/>
          <w:color w:val="000000"/>
          <w:u w:val="none"/>
        </w:rPr>
        <w:t>Content-Type: application/octet-stream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. Расширение </w:t>
      </w:r>
      <w:r>
        <w:rPr>
          <w:rFonts w:ascii="Times New Roman" w:hAnsi="Times New Roman" w:eastAsia="Times New Roman" w:cs="Times New Roman"/>
          <w:color w:val="000000"/>
          <w:u w:val="none"/>
        </w:rPr>
        <w:t>filename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определяет парсер; multipart не используется. До 2 MiB, filename ≤200 символов. </w:t>
      </w:r>
      <w:r>
        <w:rPr>
          <w:rFonts w:ascii="Times New Roman" w:hAnsi="Times New Roman" w:eastAsia="Times New Roman" w:cs="Times New Roman"/>
          <w:color w:val="000000"/>
          <w:u w:val="none"/>
        </w:rPr>
        <w:t>column_mapping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— query-параметр с URL-encoded JSON объектом «исходная колонка → каноническая» только для CSV; пустое значение пропускает колонку. Неизвестные/повторные соответствия запрещены.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 xml:space="preserve">Ответ </w:t>
      </w:r>
      <w:r>
        <w:rPr>
          <w:rFonts w:ascii="Times New Roman" w:hAnsi="Times New Roman" w:eastAsia="Times New Roman" w:cs="Times New Roman"/>
          <w:b/>
          <w:color w:val="000000"/>
          <w:u w:val="none"/>
        </w:rPr>
        <w:t>200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</w:t>
      </w:r>
      <w:r>
        <w:rPr>
          <w:rFonts w:ascii="Times New Roman" w:hAnsi="Times New Roman" w:eastAsia="Times New Roman" w:cs="Times New Roman"/>
          <w:color w:val="000000"/>
          <w:u w:val="none"/>
        </w:rPr>
        <w:t>ImportView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: </w:t>
      </w:r>
      <w:r>
        <w:rPr>
          <w:rFonts w:ascii="Times New Roman" w:hAnsi="Times New Roman" w:eastAsia="Times New Roman" w:cs="Times New Roman"/>
          <w:color w:val="000000"/>
          <w:u w:val="none"/>
        </w:rPr>
        <w:t>id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valid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errors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warnings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preview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duplicate_bank_id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publication_errors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. Ошибка файла, включая неизвестное расширение, отражается </w:t>
      </w:r>
      <w:r>
        <w:rPr>
          <w:rFonts w:ascii="Times New Roman" w:hAnsi="Times New Roman" w:eastAsia="Times New Roman" w:cs="Times New Roman"/>
          <w:color w:val="000000"/>
          <w:u w:val="none"/>
        </w:rPr>
        <w:t>valid:false/errors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не обязательно HTTP-ошибкой. Сам dry-run сохраняет историю проверки, но не создаёт банк. </w:t>
      </w:r>
      <w:r>
        <w:rPr>
          <w:rFonts w:ascii="Times New Roman" w:hAnsi="Times New Roman" w:eastAsia="Times New Roman" w:cs="Times New Roman"/>
          <w:color w:val="000000"/>
          <w:u w:val="none"/>
        </w:rPr>
        <w:t>valid:true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означает валидный draft, а не готовность публикации: проверяйте </w:t>
      </w:r>
      <w:r>
        <w:rPr>
          <w:rFonts w:ascii="Times New Roman" w:hAnsi="Times New Roman" w:eastAsia="Times New Roman" w:cs="Times New Roman"/>
          <w:color w:val="000000"/>
          <w:u w:val="none"/>
        </w:rPr>
        <w:t>publication_errors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. Неверный JSON mapping/параметры — 422; поток больше лимита — 413. Разбор нового файла выполняется вне event loop: одновременно допускаются два импорта в процессе API, не более десяти за минуту на владельца. При исчерпании допуска или квоты — 429 и </w:t>
      </w:r>
      <w:r>
        <w:rPr>
          <w:rFonts w:ascii="Times New Roman" w:hAnsi="Times New Roman" w:eastAsia="Times New Roman" w:cs="Times New Roman"/>
          <w:color w:val="000000"/>
          <w:u w:val="none"/>
        </w:rPr>
        <w:t>Retry-After: 60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. Повтор своего уже проверенного файла использует cache без нового разбора. Лимиты PDF (CPU, память, страницы и timeout) сохраняются. </w:t>
      </w:r>
      <w:r>
        <w:rPr>
          <w:rFonts w:ascii="Times New Roman" w:hAnsi="Times New Roman" w:eastAsia="Times New Roman" w:cs="Times New Roman"/>
          <w:color w:val="000000"/>
          <w:u w:val="none"/>
        </w:rPr>
        <w:t>POST .../{import_id}/confirm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создаёт draft атомарно; чужой import — 404, ошибочный — 422; одинаковое подтверждение не создаёт второй банк/версию. Повторный документ для своего </w:t>
      </w:r>
      <w:r>
        <w:rPr>
          <w:rFonts w:ascii="Times New Roman" w:hAnsi="Times New Roman" w:eastAsia="Times New Roman" w:cs="Times New Roman"/>
          <w:color w:val="000000"/>
          <w:u w:val="none"/>
        </w:rPr>
        <w:t>external_id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создаёт следующую draft-версию. Файл, расширение и mapping входят в идемпотентность dry-run.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 xml:space="preserve">JSON/ZIP сохраняют полный авторский документ </w:t>
      </w:r>
      <w:r>
        <w:rPr>
          <w:rFonts w:ascii="Times New Roman" w:hAnsi="Times New Roman" w:eastAsia="Times New Roman" w:cs="Times New Roman"/>
          <w:color w:val="000000"/>
          <w:u w:val="none"/>
        </w:rPr>
        <w:t>fsp-bank-v1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. ZIP содержит </w:t>
      </w:r>
      <w:r>
        <w:rPr>
          <w:rFonts w:ascii="Times New Roman" w:hAnsi="Times New Roman" w:eastAsia="Times New Roman" w:cs="Times New Roman"/>
          <w:color w:val="000000"/>
          <w:u w:val="none"/>
        </w:rPr>
        <w:t>manifest.json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опциональные текстовые starter-файлы, до 50 файлов/4 MiB распакованного размера; traversal, symlinks, шифрование и опасная упаковка запрещены. CSV — UTF-8/BOM, выборы/числа; PDF/DOCX извлекают лишь текст в неполный черновик, без придуманных навыков/ключей/рубрик. Текстовые PDF — до 30 страниц, без OCR. Полная схема, CSV-поля/экранирование формул и файлы: </w:t>
      </w:r>
      <w:hyperlink r:id="rId16">
        <w:r>
          <w:rPr>
            <w:rFonts w:ascii="Times New Roman" w:hAnsi="Times New Roman" w:eastAsia="Times New Roman" w:cs="Times New Roman"/>
            <w:color w:val="000000"/>
            <w:u w:val="none"/>
          </w:rPr>
          <w:t xml:space="preserve">requirements/examples</w:t>
        </w:r>
      </w:hyperlink>
      <w:r>
        <w:rPr>
          <w:rFonts w:ascii="Times New Roman" w:hAnsi="Times New Roman" w:eastAsia="Times New Roman" w:cs="Times New Roman"/>
          <w:color w:val="000000"/>
          <w:u w:val="none"/>
        </w:rPr>
        <w:t>.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 xml:space="preserve">GET </w:t>
      </w:r>
      <w:r>
        <w:rPr>
          <w:rFonts w:ascii="Times New Roman" w:hAnsi="Times New Roman" w:eastAsia="Times New Roman" w:cs="Times New Roman"/>
          <w:color w:val="000000"/>
          <w:u w:val="none"/>
        </w:rPr>
        <w:t>/company/banks/{id}/export?format=json|csv|zip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экспортирует последнюю версию своего банка, включая авторские ключи. JSON → </w:t>
      </w:r>
      <w:r>
        <w:rPr>
          <w:rFonts w:ascii="Times New Roman" w:hAnsi="Times New Roman" w:eastAsia="Times New Roman" w:cs="Times New Roman"/>
          <w:color w:val="000000"/>
          <w:u w:val="none"/>
        </w:rPr>
        <w:t>BankDocument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CSV → </w:t>
      </w:r>
      <w:r>
        <w:rPr>
          <w:rFonts w:ascii="Times New Roman" w:hAnsi="Times New Roman" w:eastAsia="Times New Roman" w:cs="Times New Roman"/>
          <w:color w:val="000000"/>
          <w:u w:val="none"/>
        </w:rPr>
        <w:t>text/csv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ZIP → </w:t>
      </w:r>
      <w:r>
        <w:rPr>
          <w:rFonts w:ascii="Times New Roman" w:hAnsi="Times New Roman" w:eastAsia="Times New Roman" w:cs="Times New Roman"/>
          <w:color w:val="000000"/>
          <w:u w:val="none"/>
        </w:rPr>
        <w:t>application/zip</w:t>
      </w:r>
      <w:r>
        <w:rPr>
          <w:rFonts w:ascii="Times New Roman" w:hAnsi="Times New Roman" w:eastAsia="Times New Roman" w:cs="Times New Roman"/>
          <w:color w:val="000000"/>
          <w:u w:val="none"/>
        </w:rPr>
        <w:t>. CSV сложного/open/code банка — 422; используйте JSON/ZIP. Этот export не доступен кандидату.</w:t>
      </w:r>
    </w:p>
    <w:p>
      <w:pPr>
        <w:pStyle w:val="Heading2"/>
      </w:pPr>
      <w:r>
        <w:rPr>
          <w:rFonts w:ascii="Times New Roman" w:hAnsi="Times New Roman" w:eastAsia="Times New Roman" w:cs="Times New Roman"/>
          <w:color w:val="000000"/>
          <w:u w:val="none"/>
        </w:rPr>
        <w:t>10. Выполнение банка и очередь VM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 xml:space="preserve">Кандидатский GET </w:t>
      </w:r>
      <w:r>
        <w:rPr>
          <w:rFonts w:ascii="Times New Roman" w:hAnsi="Times New Roman" w:eastAsia="Times New Roman" w:cs="Times New Roman"/>
          <w:color w:val="000000"/>
          <w:u w:val="none"/>
        </w:rPr>
        <w:t>/candidate/banks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показывает последнюю опубликованную версию каждого банка. Start принимает </w:t>
      </w:r>
      <w:r>
        <w:rPr>
          <w:rFonts w:ascii="Times New Roman" w:hAnsi="Times New Roman" w:eastAsia="Times New Roman" w:cs="Times New Roman"/>
          <w:color w:val="000000"/>
          <w:u w:val="none"/>
        </w:rPr>
        <w:t>version_id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возвращает одну попытку кандидата на эту версию с 201; повтор start возвращает прежнюю, не сбрасывает время. PATCH попытки передаёт весь </w:t>
      </w:r>
      <w:r>
        <w:rPr>
          <w:rFonts w:ascii="Times New Roman" w:hAnsi="Times New Roman" w:eastAsia="Times New Roman" w:cs="Times New Roman"/>
          <w:color w:val="000000"/>
          <w:u w:val="none"/>
        </w:rPr>
        <w:t>answers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плюс </w:t>
      </w:r>
      <w:r>
        <w:rPr>
          <w:rFonts w:ascii="Times New Roman" w:hAnsi="Times New Roman" w:eastAsia="Times New Roman" w:cs="Times New Roman"/>
          <w:color w:val="000000"/>
          <w:u w:val="none"/>
        </w:rPr>
        <w:t>revision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. Deadline определяется сервером из лимита версии; после срока новые ответы не принимаются. Submit принимает </w:t>
      </w:r>
      <w:r>
        <w:rPr>
          <w:rFonts w:ascii="Times New Roman" w:hAnsi="Times New Roman" w:eastAsia="Times New Roman" w:cs="Times New Roman"/>
          <w:b/>
          <w:color w:val="000000"/>
          <w:u w:val="none"/>
        </w:rPr>
        <w:t>только revision</w:t>
      </w:r>
      <w:r>
        <w:rPr>
          <w:rFonts w:ascii="Times New Roman" w:hAnsi="Times New Roman" w:eastAsia="Times New Roman" w:cs="Times New Roman"/>
          <w:color w:val="000000"/>
          <w:u w:val="none"/>
        </w:rPr>
        <w:t>, оценивает уже сохранённые ответы. После deadline submit также оценивает только ранее сохранённые данные. Это отличается от первичной оценки, где submit принимает answers.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>AttemptPublic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: ID/revision/status/deadline, неизменная кандидатская версия, свои answers, result, alias. Status: </w:t>
      </w:r>
      <w:r>
        <w:rPr>
          <w:rFonts w:ascii="Times New Roman" w:hAnsi="Times New Roman" w:eastAsia="Times New Roman" w:cs="Times New Roman"/>
          <w:color w:val="000000"/>
          <w:u w:val="none"/>
        </w:rPr>
        <w:t>in_progress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pending_review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completed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. </w:t>
      </w:r>
      <w:r>
        <w:rPr>
          <w:rFonts w:ascii="Times New Roman" w:hAnsi="Times New Roman" w:eastAsia="Times New Roman" w:cs="Times New Roman"/>
          <w:color w:val="000000"/>
          <w:u w:val="none"/>
        </w:rPr>
        <w:t>AttemptResult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: score, </w:t>
      </w:r>
      <w:r>
        <w:rPr>
          <w:rFonts w:ascii="Times New Roman" w:hAnsi="Times New Roman" w:eastAsia="Times New Roman" w:cs="Times New Roman"/>
          <w:color w:val="000000"/>
          <w:u w:val="none"/>
        </w:rPr>
        <w:t>pending_count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completed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task-results, </w:t>
      </w:r>
      <w:r>
        <w:rPr>
          <w:rFonts w:ascii="Times New Roman" w:hAnsi="Times New Roman" w:eastAsia="Times New Roman" w:cs="Times New Roman"/>
          <w:color w:val="000000"/>
          <w:u w:val="none"/>
        </w:rPr>
        <w:t>scope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b/>
          <w:color w:val="000000"/>
          <w:u w:val="none"/>
        </w:rPr>
        <w:t>`grade_effect:false`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scorer_version=bank-v1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. Task-result имеет </w:t>
      </w:r>
      <w:r>
        <w:rPr>
          <w:rFonts w:ascii="Times New Roman" w:hAnsi="Times New Roman" w:eastAsia="Times New Roman" w:cs="Times New Roman"/>
          <w:color w:val="000000"/>
          <w:u w:val="none"/>
        </w:rPr>
        <w:t>score:null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и </w:t>
      </w:r>
      <w:r>
        <w:rPr>
          <w:rFonts w:ascii="Times New Roman" w:hAnsi="Times New Roman" w:eastAsia="Times New Roman" w:cs="Times New Roman"/>
          <w:color w:val="000000"/>
          <w:u w:val="none"/>
        </w:rPr>
        <w:t>pending_review/pending_code</w:t>
      </w:r>
      <w:r>
        <w:rPr>
          <w:rFonts w:ascii="Times New Roman" w:hAnsi="Times New Roman" w:eastAsia="Times New Roman" w:cs="Times New Roman"/>
          <w:color w:val="000000"/>
          <w:u w:val="none"/>
        </w:rPr>
        <w:t>, пока результата нет. Открытый ответ проверяет только владелец банка после submit; rubric доступна кандидату, ключи/hidden tests — нет. Ручной score 0–100, feedback 2–4000 символов; одинаковый повтор идемпотентен, изменение зафиксированной review — 409.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 xml:space="preserve">POST </w:t>
      </w:r>
      <w:r>
        <w:rPr>
          <w:rFonts w:ascii="Times New Roman" w:hAnsi="Times New Roman" w:eastAsia="Times New Roman" w:cs="Times New Roman"/>
          <w:color w:val="000000"/>
          <w:u w:val="none"/>
        </w:rPr>
        <w:t>.../code-jobs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принимает </w:t>
      </w:r>
      <w:r>
        <w:rPr>
          <w:rFonts w:ascii="Times New Roman" w:hAnsi="Times New Roman" w:eastAsia="Times New Roman" w:cs="Times New Roman"/>
          <w:color w:val="000000"/>
          <w:u w:val="none"/>
        </w:rPr>
        <w:t>task_id/source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. Ответ 201 </w:t>
      </w:r>
      <w:r>
        <w:rPr>
          <w:rFonts w:ascii="Times New Roman" w:hAnsi="Times New Roman" w:eastAsia="Times New Roman" w:cs="Times New Roman"/>
          <w:color w:val="000000"/>
          <w:u w:val="none"/>
        </w:rPr>
        <w:t>CodeJobView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: </w:t>
      </w:r>
      <w:r>
        <w:rPr>
          <w:rFonts w:ascii="Times New Roman" w:hAnsi="Times New Roman" w:eastAsia="Times New Roman" w:cs="Times New Roman"/>
          <w:color w:val="000000"/>
          <w:u w:val="none"/>
        </w:rPr>
        <w:t>id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task_id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status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execution_status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result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error_code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даты. Status очереди: </w:t>
      </w:r>
      <w:r>
        <w:rPr>
          <w:rFonts w:ascii="Times New Roman" w:hAnsi="Times New Roman" w:eastAsia="Times New Roman" w:cs="Times New Roman"/>
          <w:color w:val="000000"/>
          <w:u w:val="none"/>
        </w:rPr>
        <w:t>queued/running/completed/failed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; execution-status: </w:t>
      </w:r>
      <w:r>
        <w:rPr>
          <w:rFonts w:ascii="Times New Roman" w:hAnsi="Times New Roman" w:eastAsia="Times New Roman" w:cs="Times New Roman"/>
          <w:color w:val="000000"/>
          <w:u w:val="none"/>
        </w:rPr>
        <w:t>passed/wrong_answer/timeout/runtime_error/system_error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. </w:t>
      </w:r>
      <w:r>
        <w:rPr>
          <w:rFonts w:ascii="Times New Roman" w:hAnsi="Times New Roman" w:eastAsia="Times New Roman" w:cs="Times New Roman"/>
          <w:color w:val="000000"/>
          <w:u w:val="none"/>
        </w:rPr>
        <w:t>result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содержит </w:t>
      </w:r>
      <w:r>
        <w:rPr>
          <w:rFonts w:ascii="Times New Roman" w:hAnsi="Times New Roman" w:eastAsia="Times New Roman" w:cs="Times New Roman"/>
          <w:color w:val="000000"/>
          <w:u w:val="none"/>
        </w:rPr>
        <w:t>passed_tests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total_tests</w:t>
      </w:r>
      <w:r>
        <w:rPr>
          <w:rFonts w:ascii="Times New Roman" w:hAnsi="Times New Roman" w:eastAsia="Times New Roman" w:cs="Times New Roman"/>
          <w:color w:val="000000"/>
          <w:u w:val="none"/>
        </w:rPr>
        <w:t>, score, runtime</w:t>
      </w:r>
      <w:r>
        <w:rPr>
          <w:rFonts w:ascii="Times New Roman" w:hAnsi="Times New Roman" w:eastAsia="Times New Roman" w:cs="Times New Roman"/>
          <w:i/>
          <w:color w:val="000000"/>
          <w:u w:val="none"/>
        </w:rPr>
        <w:t>version, duration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ms и status; stdout/fixtures/lease/source не выдаются кандидату. Статус запрашивается GET по job ID в своей попытке. Повтор источника возвращает имеющийся job, если он не failed. До submit — 10 предварительных jobs, после submit — не более 20 суммарно; публикация допускает максимум 10 code задач. Одновременно допускается один активный предварительный job на попытку. Финальный submit резервирует исполнения всех сохранённых code-ответов. После submit можно повторить лишь </w:t>
      </w:r>
      <w:r>
        <w:rPr>
          <w:rFonts w:ascii="Times New Roman" w:hAnsi="Times New Roman" w:eastAsia="Times New Roman" w:cs="Times New Roman"/>
          <w:b/>
          <w:color w:val="000000"/>
          <w:u w:val="none"/>
        </w:rPr>
        <w:t>точно тот же сохранённый source</w:t>
      </w:r>
      <w:r>
        <w:rPr>
          <w:rFonts w:ascii="Times New Roman" w:hAnsi="Times New Roman" w:eastAsia="Times New Roman" w:cs="Times New Roman"/>
          <w:color w:val="000000"/>
          <w:u w:val="none"/>
        </w:rPr>
        <w:t>.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 xml:space="preserve">Код исполняется отдельным Docker worker в одноразовой Linux VM, не в API. Языки </w:t>
      </w:r>
      <w:r>
        <w:rPr>
          <w:rFonts w:ascii="Times New Roman" w:hAnsi="Times New Roman" w:eastAsia="Times New Roman" w:cs="Times New Roman"/>
          <w:color w:val="000000"/>
          <w:u w:val="none"/>
        </w:rPr>
        <w:t>python/javascript/sql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; SQL — </w:t>
      </w:r>
      <w:r>
        <w:rPr>
          <w:rFonts w:ascii="Times New Roman" w:hAnsi="Times New Roman" w:eastAsia="Times New Roman" w:cs="Times New Roman"/>
          <w:b/>
          <w:color w:val="000000"/>
          <w:u w:val="none"/>
        </w:rPr>
        <w:t>SQLite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один SELECT над fixture, не PostgreSQL. Python/JS получают stdin, stdout сравнивается с эталоном; SQL возвращает упорядоченные строки. VM фиксированно 512 MiB; </w:t>
      </w:r>
      <w:r>
        <w:rPr>
          <w:rFonts w:ascii="Times New Roman" w:hAnsi="Times New Roman" w:eastAsia="Times New Roman" w:cs="Times New Roman"/>
          <w:color w:val="000000"/>
          <w:u w:val="none"/>
        </w:rPr>
        <w:t>memory_mb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принимает только 512. Поле </w:t>
      </w:r>
      <w:r>
        <w:rPr>
          <w:rFonts w:ascii="Times New Roman" w:hAnsi="Times New Roman" w:eastAsia="Times New Roman" w:cs="Times New Roman"/>
          <w:color w:val="000000"/>
          <w:u w:val="none"/>
        </w:rPr>
        <w:t>wall_seconds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(1–3) исторически названо так, но задаёт CPU-бюджет KVM; явный TCG использует обозначенный множитель ×10. Код/шаблон ≤32768 UTF-8 bytes, вход ≤16384, setup ≤32768, вывод ≤64 KiB; скрытых cases ≤10 и суммарный JSON-бюджет ≤750000 bytes. Точные VM/host ограничения и версии — </w:t>
      </w:r>
      <w:hyperlink r:id="rId14">
        <w:r>
          <w:rPr>
            <w:rFonts w:ascii="Times New Roman" w:hAnsi="Times New Roman" w:eastAsia="Times New Roman" w:cs="Times New Roman"/>
            <w:color w:val="000000"/>
            <w:u w:val="none"/>
          </w:rPr>
          <w:t xml:space="preserve">актуальное руководство</w:t>
        </w:r>
      </w:hyperlink>
      <w:r>
        <w:rPr>
          <w:rFonts w:ascii="Times New Roman" w:hAnsi="Times New Roman" w:eastAsia="Times New Roman" w:cs="Times New Roman"/>
          <w:color w:val="000000"/>
          <w:u w:val="none"/>
        </w:rPr>
        <w:t>.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 xml:space="preserve">Инфраструктурный сбой остаётся </w:t>
      </w:r>
      <w:r>
        <w:rPr>
          <w:rFonts w:ascii="Times New Roman" w:hAnsi="Times New Roman" w:eastAsia="Times New Roman" w:cs="Times New Roman"/>
          <w:color w:val="000000"/>
          <w:u w:val="none"/>
        </w:rPr>
        <w:t>pending_code</w:t>
      </w:r>
      <w:r>
        <w:rPr>
          <w:rFonts w:ascii="Times New Roman" w:hAnsi="Times New Roman" w:eastAsia="Times New Roman" w:cs="Times New Roman"/>
          <w:color w:val="000000"/>
          <w:u w:val="none"/>
        </w:rPr>
        <w:t>, а не неправильным ответом. Lease истекает через 900 секунд, предусмотрен один автоматический retry; затем допустим ограниченный повтор кандидатом с frozen source. Наличие runner-ключа проверяется при ручном enqueue; отсутствие даёт 503. При остановленном worker уже созданный queued job ожидает восстановления.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 xml:space="preserve">Внутренние </w:t>
      </w:r>
      <w:r>
        <w:rPr>
          <w:rFonts w:ascii="Times New Roman" w:hAnsi="Times New Roman" w:eastAsia="Times New Roman" w:cs="Times New Roman"/>
          <w:color w:val="000000"/>
          <w:u w:val="none"/>
        </w:rPr>
        <w:t>/internal/runner/*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предназначены worker, не браузерному клиенту. Используют </w:t>
      </w:r>
      <w:r>
        <w:rPr>
          <w:rFonts w:ascii="Times New Roman" w:hAnsi="Times New Roman" w:eastAsia="Times New Roman" w:cs="Times New Roman"/>
          <w:color w:val="000000"/>
          <w:u w:val="none"/>
        </w:rPr>
        <w:t>Authorization: Bearer &lt;локально настроенный ключ&gt;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не cookie/CSRF. Claim возвращает </w:t>
      </w:r>
      <w:r>
        <w:rPr>
          <w:rFonts w:ascii="Times New Roman" w:hAnsi="Times New Roman" w:eastAsia="Times New Roman" w:cs="Times New Roman"/>
          <w:color w:val="000000"/>
          <w:u w:val="none"/>
        </w:rPr>
        <w:t>{ "job": null }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либо job с </w:t>
      </w:r>
      <w:r>
        <w:rPr>
          <w:rFonts w:ascii="Times New Roman" w:hAnsi="Times New Roman" w:eastAsia="Times New Roman" w:cs="Times New Roman"/>
          <w:color w:val="000000"/>
          <w:u w:val="none"/>
        </w:rPr>
        <w:t>id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lease_token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language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source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tests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(</w:t>
      </w:r>
      <w:r>
        <w:rPr>
          <w:rFonts w:ascii="Times New Roman" w:hAnsi="Times New Roman" w:eastAsia="Times New Roman" w:cs="Times New Roman"/>
          <w:color w:val="000000"/>
          <w:u w:val="none"/>
        </w:rPr>
        <w:t>stdin/setup/expected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), </w:t>
      </w:r>
      <w:r>
        <w:rPr>
          <w:rFonts w:ascii="Times New Roman" w:hAnsi="Times New Roman" w:eastAsia="Times New Roman" w:cs="Times New Roman"/>
          <w:color w:val="000000"/>
          <w:u w:val="none"/>
        </w:rPr>
        <w:t>time_limit_seconds</w:t>
      </w:r>
      <w:r>
        <w:rPr>
          <w:rFonts w:ascii="Times New Roman" w:hAnsi="Times New Roman" w:eastAsia="Times New Roman" w:cs="Times New Roman"/>
          <w:color w:val="000000"/>
          <w:u w:val="none"/>
        </w:rPr>
        <w:t>. Result принимает lease</w:t>
      </w:r>
      <w:r>
        <w:rPr>
          <w:rFonts w:ascii="Times New Roman" w:hAnsi="Times New Roman" w:eastAsia="Times New Roman" w:cs="Times New Roman"/>
          <w:i/>
          <w:color w:val="000000"/>
          <w:u w:val="none"/>
        </w:rPr>
        <w:t>token, status, passed, total, duration</w:t>
      </w:r>
      <w:r>
        <w:rPr>
          <w:rFonts w:ascii="Times New Roman" w:hAnsi="Times New Roman" w:eastAsia="Times New Roman" w:cs="Times New Roman"/>
          <w:color w:val="000000"/>
          <w:u w:val="none"/>
        </w:rPr>
        <w:t>ms, runtime</w:t>
      </w:r>
      <w:r>
        <w:rPr>
          <w:rFonts w:ascii="Times New Roman" w:hAnsi="Times New Roman" w:eastAsia="Times New Roman" w:cs="Times New Roman"/>
          <w:i/>
          <w:color w:val="000000"/>
          <w:u w:val="none"/>
        </w:rPr>
        <w:t>version и необязательный enum error</w:t>
      </w:r>
      <w:r>
        <w:rPr>
          <w:rFonts w:ascii="Times New Roman" w:hAnsi="Times New Roman" w:eastAsia="Times New Roman" w:cs="Times New Roman"/>
          <w:color w:val="000000"/>
          <w:u w:val="none"/>
        </w:rPr>
        <w:t>code. Истёкший/повторный lease — 409, несоответствие закреплённым cases — 422, неверная авторизация — 403, ненастроенный broker — 503. Полные внутренние поля доступны лишь worker.</w:t>
      </w:r>
    </w:p>
    <w:p>
      <w:pPr>
        <w:pStyle w:val="Heading2"/>
      </w:pPr>
      <w:r>
        <w:rPr>
          <w:rFonts w:ascii="Times New Roman" w:hAnsi="Times New Roman" w:eastAsia="Times New Roman" w:cs="Times New Roman"/>
          <w:color w:val="000000"/>
          <w:u w:val="none"/>
        </w:rPr>
        <w:t>11. Ошибки и форматы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 xml:space="preserve">Пользовательские входные схемы запрещают неизвестные поля. Строгие целые не принимают bool/float/строковые числа. Время — ISO 8601 UTC. Успешные статусы и схемы каждой операции — в таблице ниже; 204 имеет пустое тело. JSON ответы API идут с </w:t>
      </w:r>
      <w:r>
        <w:rPr>
          <w:rFonts w:ascii="Times New Roman" w:hAnsi="Times New Roman" w:eastAsia="Times New Roman" w:cs="Times New Roman"/>
          <w:color w:val="000000"/>
          <w:u w:val="none"/>
        </w:rPr>
        <w:t>Cache-Control: no-store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; обычные ответы содержат </w:t>
      </w:r>
      <w:r>
        <w:rPr>
          <w:rFonts w:ascii="Times New Roman" w:hAnsi="Times New Roman" w:eastAsia="Times New Roman" w:cs="Times New Roman"/>
          <w:color w:val="000000"/>
          <w:u w:val="none"/>
        </w:rPr>
        <w:t>X-Request-ID</w:t>
      </w:r>
      <w:r>
        <w:rPr>
          <w:rFonts w:ascii="Times New Roman" w:hAnsi="Times New Roman" w:eastAsia="Times New Roman" w:cs="Times New Roman"/>
          <w:color w:val="000000"/>
          <w:u w:val="none"/>
        </w:rPr>
        <w:t>. Middleware-ошибка может содержать request_id только в JSON.</w:t>
      </w:r>
    </w:p>
    <w:p>
      <w:pPr>
        <w:pStyle w:val="GOSTCode"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>{"code":"http_409","message":"Ответы изменены в другой вкладке; загрузите сохранённую попытку","request_id":"&lt;id запроса&gt;"}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 xml:space="preserve">Это пример формы ошибки; message зависит от конкретного обработчика. Ошибка валидации имеет </w:t>
      </w:r>
      <w:r>
        <w:rPr>
          <w:rFonts w:ascii="Times New Roman" w:hAnsi="Times New Roman" w:eastAsia="Times New Roman" w:cs="Times New Roman"/>
          <w:color w:val="000000"/>
          <w:u w:val="none"/>
        </w:rPr>
        <w:t>code=validation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message</w:t>
      </w:r>
      <w:r>
        <w:rPr>
          <w:rFonts w:ascii="Times New Roman" w:hAnsi="Times New Roman" w:eastAsia="Times New Roman" w:cs="Times New Roman"/>
          <w:color w:val="000000"/>
          <w:u w:val="none"/>
        </w:rPr>
        <w:t>, request</w:t>
      </w:r>
      <w:r>
        <w:rPr>
          <w:rFonts w:ascii="Times New Roman" w:hAnsi="Times New Roman" w:eastAsia="Times New Roman" w:cs="Times New Roman"/>
          <w:i/>
          <w:color w:val="000000"/>
          <w:u w:val="none"/>
        </w:rPr>
        <w:t>id и `details` с `field/message`. Origin даёт `origin</w:t>
      </w:r>
      <w:r>
        <w:rPr>
          <w:rFonts w:ascii="Times New Roman" w:hAnsi="Times New Roman" w:eastAsia="Times New Roman" w:cs="Times New Roman"/>
          <w:color w:val="000000"/>
          <w:u w:val="none"/>
        </w:rPr>
        <w:t>forbidden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auth quota — </w:t>
      </w:r>
      <w:r>
        <w:rPr>
          <w:rFonts w:ascii="Times New Roman" w:hAnsi="Times New Roman" w:eastAsia="Times New Roman" w:cs="Times New Roman"/>
          <w:color w:val="000000"/>
          <w:u w:val="none"/>
        </w:rPr>
        <w:t>rate_limit`.</w:t>
      </w:r>
    </w:p>
    <w:p>
      <w:pPr>
        <w:pStyle w:val="GOSTTableReference"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>Сведения приведены в таблице 3.</w:t>
      </w:r>
    </w:p>
    <w:p>
      <w:pPr>
        <w:pStyle w:val="GOSTTableCaption"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>Таблица 3 — Ошибки и форматы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cantSplit/>
          <w:tblHeader w:val="true"/>
        </w:trPr>
        <w:tc>
          <w:tcPr>
            <w:tcW w:type="dxa" w:w="133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Статус</w:t>
            </w:r>
          </w:p>
        </w:tc>
        <w:tc>
          <w:tcPr>
            <w:tcW w:type="dxa" w:w="801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Практический смысл</w:t>
            </w:r>
          </w:p>
        </w:tc>
      </w:tr>
      <w:tr>
        <w:trPr>
          <w:cantSplit/>
        </w:trPr>
        <w:tc>
          <w:tcPr>
            <w:tcW w:type="dxa" w:w="133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401</w:t>
            </w:r>
          </w:p>
        </w:tc>
        <w:tc>
          <w:tcPr>
            <w:tcW w:type="dxa" w:w="801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нет действующей сессии/подтверждения; неправильный пароль</w:t>
            </w:r>
          </w:p>
        </w:tc>
      </w:tr>
      <w:tr>
        <w:trPr>
          <w:cantSplit/>
        </w:trPr>
        <w:tc>
          <w:tcPr>
            <w:tcW w:type="dxa" w:w="133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403</w:t>
            </w:r>
          </w:p>
        </w:tc>
        <w:tc>
          <w:tcPr>
            <w:tcW w:type="dxa" w:w="801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роль, CSRF, Origin или worker Bearer не разрешены</w:t>
            </w:r>
          </w:p>
        </w:tc>
      </w:tr>
      <w:tr>
        <w:trPr>
          <w:cantSplit/>
        </w:trPr>
        <w:tc>
          <w:tcPr>
            <w:tcW w:type="dxa" w:w="133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404</w:t>
            </w:r>
          </w:p>
        </w:tc>
        <w:tc>
          <w:tcPr>
            <w:tcW w:type="dxa" w:w="801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отсутствующая/чужая запись либо неподходящая опубликованная сущность</w:t>
            </w:r>
          </w:p>
        </w:tc>
      </w:tr>
      <w:tr>
        <w:trPr>
          <w:cantSplit/>
        </w:trPr>
        <w:tc>
          <w:tcPr>
            <w:tcW w:type="dxa" w:w="133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409</w:t>
            </w:r>
          </w:p>
        </w:tc>
        <w:tc>
          <w:tcPr>
            <w:tcW w:type="dxa" w:w="801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конфликт revision/version, terminal state, дедлайн/cooldown или idempotency</w:t>
            </w:r>
          </w:p>
        </w:tc>
      </w:tr>
      <w:tr>
        <w:trPr>
          <w:cantSplit/>
        </w:trPr>
        <w:tc>
          <w:tcPr>
            <w:tcW w:type="dxa" w:w="133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413</w:t>
            </w:r>
          </w:p>
        </w:tc>
        <w:tc>
          <w:tcPr>
            <w:tcW w:type="dxa" w:w="801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raw PDF/import превышает 2 MiB</w:t>
            </w:r>
          </w:p>
        </w:tc>
      </w:tr>
      <w:tr>
        <w:trPr>
          <w:cantSplit/>
        </w:trPr>
        <w:tc>
          <w:tcPr>
            <w:tcW w:type="dxa" w:w="133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415</w:t>
            </w:r>
          </w:p>
        </w:tc>
        <w:tc>
          <w:tcPr>
            <w:tcW w:type="dxa" w:w="801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resume-preview требует Content-Type application/pdf</w:t>
            </w:r>
          </w:p>
        </w:tc>
      </w:tr>
      <w:tr>
        <w:trPr>
          <w:cantSplit/>
        </w:trPr>
        <w:tc>
          <w:tcPr>
            <w:tcW w:type="dxa" w:w="133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422</w:t>
            </w:r>
          </w:p>
        </w:tc>
        <w:tc>
          <w:tcPr>
            <w:tcW w:type="dxa" w:w="801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поля/ответы/mapping невалидны; публикация не готова; invalid import confirm; CSV export сложных типов</w:t>
            </w:r>
          </w:p>
        </w:tc>
      </w:tr>
      <w:tr>
        <w:trPr>
          <w:cantSplit/>
        </w:trPr>
        <w:tc>
          <w:tcPr>
            <w:tcW w:type="dxa" w:w="133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429</w:t>
            </w:r>
          </w:p>
        </w:tc>
        <w:tc>
          <w:tcPr>
            <w:tcW w:type="dxa" w:w="801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quota входа или лимит code jobs</w:t>
            </w:r>
          </w:p>
        </w:tc>
      </w:tr>
      <w:tr>
        <w:trPr>
          <w:cantSplit/>
        </w:trPr>
        <w:tc>
          <w:tcPr>
            <w:tcW w:type="dxa" w:w="133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503</w:t>
            </w:r>
          </w:p>
        </w:tc>
        <w:tc>
          <w:tcPr>
            <w:tcW w:type="dxa" w:w="801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компонент не настроен/недоступен в явно предусмотренной обработчиком ветке</w:t>
            </w:r>
          </w:p>
        </w:tc>
      </w:tr>
    </w:tbl>
    <w:p>
      <w:pPr>
        <w:spacing w:after="0"/>
        <w:ind w:firstLine="0"/>
      </w:pPr>
    </w:p>
    <w:p>
      <w:r>
        <w:rPr>
          <w:rFonts w:ascii="Times New Roman" w:hAnsi="Times New Roman" w:eastAsia="Times New Roman" w:cs="Times New Roman"/>
          <w:color w:val="000000"/>
          <w:u w:val="none"/>
        </w:rPr>
        <w:t>OpenAPI описывает общий набор возможных ошибок для операций; это не означает, что каждый путь обязательно имеет каждую ветку. Ошибки файла dry-run обычно возвращаются внутри успешного ImportView. При 409 сначала получите серверную версию и согласуйте свою правку; слепой повтор с новой revision теряет смысл CAS.</w:t>
      </w:r>
    </w:p>
    <w:p>
      <w:pPr>
        <w:pStyle w:val="Heading2"/>
      </w:pPr>
      <w:r>
        <w:rPr>
          <w:rFonts w:ascii="Times New Roman" w:hAnsi="Times New Roman" w:eastAsia="Times New Roman" w:cs="Times New Roman"/>
          <w:color w:val="000000"/>
          <w:u w:val="none"/>
        </w:rPr>
        <w:t>12. ФСП ID mock и исходное ТЗ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 xml:space="preserve">ТЗ §2 и §4 намеренно не предоставляет внешний API/структуру данных ФСП; Keycloak — ориентир совместимости, не обязательная авторизация MVP. Здесь реализован </w:t>
      </w:r>
      <w:r>
        <w:rPr>
          <w:rFonts w:ascii="Times New Roman" w:hAnsi="Times New Roman" w:eastAsia="Times New Roman" w:cs="Times New Roman"/>
          <w:b/>
          <w:color w:val="000000"/>
          <w:u w:val="none"/>
        </w:rPr>
        <w:t>локальный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OIDC mock authorization code + PKCE S256, а не внешний вход. Путь кандидата: с пользовательской сессией открыть </w:t>
      </w:r>
      <w:r>
        <w:rPr>
          <w:rFonts w:ascii="Times New Roman" w:hAnsi="Times New Roman" w:eastAsia="Times New Roman" w:cs="Times New Roman"/>
          <w:color w:val="000000"/>
          <w:u w:val="none"/>
        </w:rPr>
        <w:t>GET /candidate/fsp-id/start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(302) → пройти HTML-форму mock ID → callback привяжет synthetic </w:t>
      </w:r>
      <w:r>
        <w:rPr>
          <w:rFonts w:ascii="Times New Roman" w:hAnsi="Times New Roman" w:eastAsia="Times New Roman" w:cs="Times New Roman"/>
          <w:color w:val="000000"/>
          <w:u w:val="none"/>
        </w:rPr>
        <w:t>sub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и загрузит demo-события. Discovery доступен локально по </w:t>
      </w:r>
      <w:r>
        <w:rPr>
          <w:rFonts w:ascii="Times New Roman" w:hAnsi="Times New Roman" w:eastAsia="Times New Roman" w:cs="Times New Roman"/>
          <w:color w:val="000000"/>
          <w:u w:val="none"/>
        </w:rPr>
        <w:t>/auth/mock-fsp-id/.well-known/openid-configuration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; </w:t>
      </w:r>
      <w:r>
        <w:rPr>
          <w:rFonts w:ascii="Times New Roman" w:hAnsi="Times New Roman" w:eastAsia="Times New Roman" w:cs="Times New Roman"/>
          <w:color w:val="000000"/>
          <w:u w:val="none"/>
        </w:rPr>
        <w:t>authorize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принимает только заранее созданные state, client</w:t>
      </w:r>
      <w:r>
        <w:rPr>
          <w:rFonts w:ascii="Times New Roman" w:hAnsi="Times New Roman" w:eastAsia="Times New Roman" w:cs="Times New Roman"/>
          <w:i/>
          <w:color w:val="000000"/>
          <w:u w:val="none"/>
        </w:rPr>
        <w:t>id и callback, `token` принимает `FspToken` (`grant</w:t>
      </w:r>
      <w:r>
        <w:rPr>
          <w:rFonts w:ascii="Times New Roman" w:hAnsi="Times New Roman" w:eastAsia="Times New Roman" w:cs="Times New Roman"/>
          <w:color w:val="000000"/>
          <w:u w:val="none"/>
        </w:rPr>
        <w:t>type=authorization</w:t>
      </w:r>
      <w:r>
        <w:rPr>
          <w:rFonts w:ascii="Times New Roman" w:hAnsi="Times New Roman" w:eastAsia="Times New Roman" w:cs="Times New Roman"/>
          <w:i/>
          <w:color w:val="000000"/>
          <w:u w:val="none"/>
        </w:rPr>
        <w:t>code`, `client</w:t>
      </w:r>
      <w:r>
        <w:rPr>
          <w:rFonts w:ascii="Times New Roman" w:hAnsi="Times New Roman" w:eastAsia="Times New Roman" w:cs="Times New Roman"/>
          <w:color w:val="000000"/>
          <w:u w:val="none"/>
        </w:rPr>
        <w:t>id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code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code_verifier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) и возвращает </w:t>
      </w:r>
      <w:r>
        <w:rPr>
          <w:rFonts w:ascii="Times New Roman" w:hAnsi="Times New Roman" w:eastAsia="Times New Roman" w:cs="Times New Roman"/>
          <w:color w:val="000000"/>
          <w:u w:val="none"/>
        </w:rPr>
        <w:t>FspTokenOut`, без access token.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 xml:space="preserve">После callback профиль получает </w:t>
      </w:r>
      <w:r>
        <w:rPr>
          <w:rFonts w:ascii="Times New Roman" w:hAnsi="Times New Roman" w:eastAsia="Times New Roman" w:cs="Times New Roman"/>
          <w:color w:val="000000"/>
          <w:u w:val="none"/>
        </w:rPr>
        <w:t>none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linked-empty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verified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или </w:t>
      </w:r>
      <w:r>
        <w:rPr>
          <w:rFonts w:ascii="Times New Roman" w:hAnsi="Times New Roman" w:eastAsia="Times New Roman" w:cs="Times New Roman"/>
          <w:color w:val="000000"/>
          <w:u w:val="none"/>
        </w:rPr>
        <w:t>unavailable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; отсутствие истории не блокирует оценку или публикацию. </w:t>
      </w:r>
      <w:r>
        <w:rPr>
          <w:rFonts w:ascii="Times New Roman" w:hAnsi="Times New Roman" w:eastAsia="Times New Roman" w:cs="Times New Roman"/>
          <w:color w:val="000000"/>
          <w:u w:val="none"/>
        </w:rPr>
        <w:t>DELETE /candidate/fsp-link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отвязывает mock ID и возвращает </w:t>
      </w:r>
      <w:r>
        <w:rPr>
          <w:rFonts w:ascii="Times New Roman" w:hAnsi="Times New Roman" w:eastAsia="Times New Roman" w:cs="Times New Roman"/>
          <w:color w:val="000000"/>
          <w:u w:val="none"/>
        </w:rPr>
        <w:t>FspLinkView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(</w:t>
      </w:r>
      <w:r>
        <w:rPr>
          <w:rFonts w:ascii="Times New Roman" w:hAnsi="Times New Roman" w:eastAsia="Times New Roman" w:cs="Times New Roman"/>
          <w:color w:val="000000"/>
          <w:u w:val="none"/>
        </w:rPr>
        <w:t>state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previous_state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signal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demo</w:t>
      </w:r>
      <w:r>
        <w:rPr>
          <w:rFonts w:ascii="Times New Roman" w:hAnsi="Times New Roman" w:eastAsia="Times New Roman" w:cs="Times New Roman"/>
          <w:color w:val="000000"/>
          <w:u w:val="none"/>
        </w:rPr>
        <w:t>). Member ID не выдаётся работодателю в поиске. Этот mock не проверяет внешнюю личность и не присваивает подтверждённый грейд.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 xml:space="preserve">Официальный публичный OIDC discovery ФСП ID исследован отдельно: </w:t>
      </w:r>
      <w:hyperlink r:id="rId15">
        <w:r>
          <w:rPr>
            <w:rFonts w:ascii="Times New Roman" w:hAnsi="Times New Roman" w:eastAsia="Times New Roman" w:cs="Times New Roman"/>
            <w:color w:val="000000"/>
            <w:u w:val="none"/>
          </w:rPr>
          <w:t xml:space="preserve">актуальное руководство</w:t>
        </w:r>
      </w:hyperlink>
      <w:r>
        <w:rPr>
          <w:rFonts w:ascii="Times New Roman" w:hAnsi="Times New Roman" w:eastAsia="Times New Roman" w:cs="Times New Roman"/>
          <w:color w:val="000000"/>
          <w:u w:val="none"/>
        </w:rPr>
        <w:t>. Сам факт issuer/PKCE не регистрирует наш client и не разрешает получать достижения. В этом сервисе нет внешнего OIDC callback, внешнего token exchange/userinfo или API реестра. Новые внешние пути/поля до получения официального контракта не предполагаются.</w:t>
      </w:r>
    </w:p>
    <w:p>
      <w:pPr>
        <w:pStyle w:val="Heading2"/>
      </w:pPr>
      <w:r>
        <w:rPr>
          <w:rFonts w:ascii="Times New Roman" w:hAnsi="Times New Roman" w:eastAsia="Times New Roman" w:cs="Times New Roman"/>
          <w:color w:val="000000"/>
          <w:u w:val="none"/>
        </w:rPr>
        <w:t>13. Полный справочник операций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 xml:space="preserve">Таблица сверена с generated OpenAPI. </w:t>
      </w:r>
      <w:r>
        <w:rPr>
          <w:rFonts w:ascii="Times New Roman" w:hAnsi="Times New Roman" w:eastAsia="Times New Roman" w:cs="Times New Roman"/>
          <w:color w:val="000000"/>
          <w:u w:val="none"/>
        </w:rPr>
        <w:t>[]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означает массив выходной схемы, </w:t>
      </w:r>
      <w:r>
        <w:rPr>
          <w:rFonts w:ascii="Times New Roman" w:hAnsi="Times New Roman" w:eastAsia="Times New Roman" w:cs="Times New Roman"/>
          <w:color w:val="000000"/>
          <w:u w:val="none"/>
        </w:rPr>
        <w:t>null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— отсутствие активной формы. Схемы входа — JSON, кроме отмеченных raw файлов; </w:t>
      </w:r>
      <w:r>
        <w:rPr>
          <w:rFonts w:ascii="Times New Roman" w:hAnsi="Times New Roman" w:eastAsia="Times New Roman" w:cs="Times New Roman"/>
          <w:color w:val="000000"/>
          <w:u w:val="none"/>
        </w:rPr>
        <w:t>—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означает отсутствие JSON body. Path ID, query и заголовки описаны выше и полностью заданы OpenAPI. К — кандидат, Р — работодатель, П — публично, С — любая пользовательская сессия, W — внутренний worker. Все операции Р над банками/ответами/подборками проверяют соответствующее владение; операции К над попытками/приглашениями/откликами — собственную запись.</w:t>
      </w:r>
    </w:p>
    <w:p>
      <w:pPr>
        <w:pStyle w:val="Heading3"/>
      </w:pPr>
      <w:r>
        <w:rPr>
          <w:rFonts w:ascii="Times New Roman" w:hAnsi="Times New Roman" w:eastAsia="Times New Roman" w:cs="Times New Roman"/>
          <w:color w:val="000000"/>
          <w:u w:val="none"/>
        </w:rPr>
        <w:t>13.1. Состояние</w:t>
      </w:r>
    </w:p>
    <w:p>
      <w:pPr>
        <w:pStyle w:val="GOSTTableReference"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>Сведения приведены в таблице 4.</w:t>
      </w:r>
    </w:p>
    <w:p>
      <w:pPr>
        <w:pStyle w:val="GOSTTableCaption"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>Таблица 4 — Состояние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cantSplit/>
          <w:tblHeader w:val="true"/>
        </w:trPr>
        <w:tc>
          <w:tcPr>
            <w:tcW w:type="dxa" w:w="103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Метод</w:t>
            </w:r>
          </w:p>
        </w:tc>
        <w:tc>
          <w:tcPr>
            <w:tcW w:type="dxa" w:w="142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Путь</w:t>
            </w:r>
          </w:p>
        </w:tc>
        <w:tc>
          <w:tcPr>
            <w:tcW w:type="dxa" w:w="415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Роль / назначение</w:t>
            </w:r>
          </w:p>
        </w:tc>
        <w:tc>
          <w:tcPr>
            <w:tcW w:type="dxa" w:w="27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Вход → статус / ответ</w:t>
            </w:r>
          </w:p>
        </w:tc>
      </w:tr>
      <w:tr>
        <w:trPr>
          <w:cantSplit/>
        </w:trPr>
        <w:tc>
          <w:tcPr>
            <w:tcW w:type="dxa" w:w="103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GET</w:t>
            </w:r>
          </w:p>
        </w:tc>
        <w:tc>
          <w:tcPr>
            <w:tcW w:type="dxa" w:w="142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/api/health</w:t>
            </w:r>
          </w:p>
        </w:tc>
        <w:tc>
          <w:tcPr>
            <w:tcW w:type="dxa" w:w="415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П — Проверка API и соединения БД</w:t>
            </w:r>
          </w:p>
        </w:tc>
        <w:tc>
          <w:tcPr>
            <w:tcW w:type="dxa" w:w="27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—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 → 200 / HealthView</w:t>
            </w:r>
          </w:p>
        </w:tc>
      </w:tr>
    </w:tbl>
    <w:p>
      <w:pPr>
        <w:spacing w:after="0"/>
        <w:ind w:firstLine="0"/>
      </w:pPr>
    </w:p>
    <w:p>
      <w:pPr>
        <w:pStyle w:val="Heading3"/>
      </w:pPr>
      <w:r>
        <w:rPr>
          <w:rFonts w:ascii="Times New Roman" w:hAnsi="Times New Roman" w:eastAsia="Times New Roman" w:cs="Times New Roman"/>
          <w:color w:val="000000"/>
          <w:u w:val="none"/>
        </w:rPr>
        <w:t>13.2. Mock-идентификация</w:t>
      </w:r>
    </w:p>
    <w:p>
      <w:pPr>
        <w:pStyle w:val="GOSTTableReference"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>Сведения приведены в таблице 5.</w:t>
      </w:r>
    </w:p>
    <w:p>
      <w:pPr>
        <w:pStyle w:val="GOSTTableCaption"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>Таблица 5 — Mock-идентификация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cantSplit/>
          <w:tblHeader w:val="true"/>
        </w:trPr>
        <w:tc>
          <w:tcPr>
            <w:tcW w:type="dxa" w:w="74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Метод</w:t>
            </w:r>
          </w:p>
        </w:tc>
        <w:tc>
          <w:tcPr>
            <w:tcW w:type="dxa" w:w="243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Путь</w:t>
            </w:r>
          </w:p>
        </w:tc>
        <w:tc>
          <w:tcPr>
            <w:tcW w:type="dxa" w:w="346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Роль / назначение</w:t>
            </w:r>
          </w:p>
        </w:tc>
        <w:tc>
          <w:tcPr>
            <w:tcW w:type="dxa" w:w="271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Вход → статус / ответ</w:t>
            </w:r>
          </w:p>
        </w:tc>
      </w:tr>
      <w:tr>
        <w:trPr>
          <w:cantSplit/>
        </w:trPr>
        <w:tc>
          <w:tcPr>
            <w:tcW w:type="dxa" w:w="74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GET</w:t>
            </w:r>
          </w:p>
        </w:tc>
        <w:tc>
          <w:tcPr>
            <w:tcW w:type="dxa" w:w="243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/api/v1/auth/demo-accounts</w:t>
            </w:r>
          </w:p>
        </w:tc>
        <w:tc>
          <w:tcPr>
            <w:tcW w:type="dxa" w:w="346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П — Список seed-аккаунтов</w:t>
            </w:r>
          </w:p>
        </w:tc>
        <w:tc>
          <w:tcPr>
            <w:tcW w:type="dxa" w:w="271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—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 → 200 / AccountView[]</w:t>
            </w:r>
          </w:p>
        </w:tc>
      </w:tr>
      <w:tr>
        <w:trPr>
          <w:cantSplit/>
        </w:trPr>
        <w:tc>
          <w:tcPr>
            <w:tcW w:type="dxa" w:w="74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POST</w:t>
            </w:r>
          </w:p>
        </w:tc>
        <w:tc>
          <w:tcPr>
            <w:tcW w:type="dxa" w:w="243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/api/v1/auth/demo-login</w:t>
            </w:r>
          </w:p>
        </w:tc>
        <w:tc>
          <w:tcPr>
            <w:tcW w:type="dxa" w:w="346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П — Вход в seed-аккаунт</w:t>
            </w:r>
          </w:p>
        </w:tc>
        <w:tc>
          <w:tcPr>
            <w:tcW w:type="dxa" w:w="271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DemoLogin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 → 200 / SessionView</w:t>
            </w:r>
          </w:p>
        </w:tc>
      </w:tr>
      <w:tr>
        <w:trPr>
          <w:cantSplit/>
        </w:trPr>
        <w:tc>
          <w:tcPr>
            <w:tcW w:type="dxa" w:w="74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POST</w:t>
            </w:r>
          </w:p>
        </w:tc>
        <w:tc>
          <w:tcPr>
            <w:tcW w:type="dxa" w:w="243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/api/v1/auth/register</w:t>
            </w:r>
          </w:p>
        </w:tc>
        <w:tc>
          <w:tcPr>
            <w:tcW w:type="dxa" w:w="346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П — Регистрация синтетического адреса</w:t>
            </w:r>
          </w:p>
        </w:tc>
        <w:tc>
          <w:tcPr>
            <w:tcW w:type="dxa" w:w="271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Register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 → 201 / DeliveryView</w:t>
            </w:r>
          </w:p>
        </w:tc>
      </w:tr>
      <w:tr>
        <w:trPr>
          <w:cantSplit/>
        </w:trPr>
        <w:tc>
          <w:tcPr>
            <w:tcW w:type="dxa" w:w="74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POST</w:t>
            </w:r>
          </w:p>
        </w:tc>
        <w:tc>
          <w:tcPr>
            <w:tcW w:type="dxa" w:w="243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/api/v1/auth/login</w:t>
            </w:r>
          </w:p>
        </w:tc>
        <w:tc>
          <w:tcPr>
            <w:tcW w:type="dxa" w:w="346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П — Повторная ссылка входа</w:t>
            </w:r>
          </w:p>
        </w:tc>
        <w:tc>
          <w:tcPr>
            <w:tcW w:type="dxa" w:w="271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Email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 → 200 / MessageView</w:t>
            </w:r>
          </w:p>
        </w:tc>
      </w:tr>
      <w:tr>
        <w:trPr>
          <w:cantSplit/>
        </w:trPr>
        <w:tc>
          <w:tcPr>
            <w:tcW w:type="dxa" w:w="74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POST</w:t>
            </w:r>
          </w:p>
        </w:tc>
        <w:tc>
          <w:tcPr>
            <w:tcW w:type="dxa" w:w="243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/api/v1/auth/verify</w:t>
            </w:r>
          </w:p>
        </w:tc>
        <w:tc>
          <w:tcPr>
            <w:tcW w:type="dxa" w:w="346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П — Одноразовое подтверждение адреса</w:t>
            </w:r>
          </w:p>
        </w:tc>
        <w:tc>
          <w:tcPr>
            <w:tcW w:type="dxa" w:w="271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Verify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 → 200 / SessionView</w:t>
            </w:r>
          </w:p>
        </w:tc>
      </w:tr>
    </w:tbl>
    <w:p>
      <w:pPr>
        <w:spacing w:after="0"/>
        <w:ind w:firstLine="0"/>
      </w:pPr>
    </w:p>
    <w:p>
      <w:pPr>
        <w:pStyle w:val="Heading3"/>
      </w:pPr>
      <w:r>
        <w:rPr>
          <w:rFonts w:ascii="Times New Roman" w:hAnsi="Times New Roman" w:eastAsia="Times New Roman" w:cs="Times New Roman"/>
          <w:color w:val="000000"/>
          <w:u w:val="none"/>
        </w:rPr>
        <w:t>13.3. Вход</w:t>
      </w:r>
    </w:p>
    <w:p>
      <w:pPr>
        <w:pStyle w:val="GOSTTableReference"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>Сведения приведены в таблице 6.</w:t>
      </w:r>
    </w:p>
    <w:p>
      <w:pPr>
        <w:pStyle w:val="GOSTTableCaption"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>Таблица 6 — Вход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cantSplit/>
          <w:tblHeader w:val="true"/>
        </w:trPr>
        <w:tc>
          <w:tcPr>
            <w:tcW w:type="dxa" w:w="64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Метод</w:t>
            </w:r>
          </w:p>
        </w:tc>
        <w:tc>
          <w:tcPr>
            <w:tcW w:type="dxa" w:w="217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Путь</w:t>
            </w:r>
          </w:p>
        </w:tc>
        <w:tc>
          <w:tcPr>
            <w:tcW w:type="dxa" w:w="387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Роль / назначение</w:t>
            </w:r>
          </w:p>
        </w:tc>
        <w:tc>
          <w:tcPr>
            <w:tcW w:type="dxa" w:w="266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Вход → статус / ответ</w:t>
            </w:r>
          </w:p>
        </w:tc>
      </w:tr>
      <w:tr>
        <w:trPr>
          <w:cantSplit/>
        </w:trPr>
        <w:tc>
          <w:tcPr>
            <w:tcW w:type="dxa" w:w="64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POST</w:t>
            </w:r>
          </w:p>
        </w:tc>
        <w:tc>
          <w:tcPr>
            <w:tcW w:type="dxa" w:w="217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/api/v1/auth/password-login</w:t>
            </w:r>
          </w:p>
        </w:tc>
        <w:tc>
          <w:tcPr>
            <w:tcW w:type="dxa" w:w="387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П — Вход с подтверждённым адресом/паролем</w:t>
            </w:r>
          </w:p>
        </w:tc>
        <w:tc>
          <w:tcPr>
            <w:tcW w:type="dxa" w:w="266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PasswordLogin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 → 200 / SessionView</w:t>
            </w:r>
          </w:p>
        </w:tc>
      </w:tr>
      <w:tr>
        <w:trPr>
          <w:cantSplit/>
        </w:trPr>
        <w:tc>
          <w:tcPr>
            <w:tcW w:type="dxa" w:w="64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POST</w:t>
            </w:r>
          </w:p>
        </w:tc>
        <w:tc>
          <w:tcPr>
            <w:tcW w:type="dxa" w:w="217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/api/v1/auth/jury-register</w:t>
            </w:r>
          </w:p>
        </w:tc>
        <w:tc>
          <w:tcPr>
            <w:tcW w:type="dxa" w:w="387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П — Индивидуальный синтетический аккаунт, только opt-in jury</w:t>
            </w:r>
          </w:p>
        </w:tc>
        <w:tc>
          <w:tcPr>
            <w:tcW w:type="dxa" w:w="266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JuryRegister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 → 201 / JurySession</w:t>
            </w:r>
          </w:p>
        </w:tc>
      </w:tr>
    </w:tbl>
    <w:p>
      <w:pPr>
        <w:spacing w:after="0"/>
        <w:ind w:firstLine="0"/>
      </w:pPr>
    </w:p>
    <w:p>
      <w:pPr>
        <w:pStyle w:val="Heading3"/>
      </w:pPr>
      <w:r>
        <w:rPr>
          <w:rFonts w:ascii="Times New Roman" w:hAnsi="Times New Roman" w:eastAsia="Times New Roman" w:cs="Times New Roman"/>
          <w:color w:val="000000"/>
          <w:u w:val="none"/>
        </w:rPr>
        <w:t>13.4. Mock-почта</w:t>
      </w:r>
    </w:p>
    <w:p>
      <w:pPr>
        <w:pStyle w:val="GOSTTableReference"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>Сведения приведены в таблице 7.</w:t>
      </w:r>
    </w:p>
    <w:p>
      <w:pPr>
        <w:pStyle w:val="GOSTTableCaption"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>Таблица 7 — Mock-почта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cantSplit/>
          <w:tblHeader w:val="true"/>
        </w:trPr>
        <w:tc>
          <w:tcPr>
            <w:tcW w:type="dxa" w:w="99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Метод</w:t>
            </w:r>
          </w:p>
        </w:tc>
        <w:tc>
          <w:tcPr>
            <w:tcW w:type="dxa" w:w="27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Путь</w:t>
            </w:r>
          </w:p>
        </w:tc>
        <w:tc>
          <w:tcPr>
            <w:tcW w:type="dxa" w:w="299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Роль / назначение</w:t>
            </w:r>
          </w:p>
        </w:tc>
        <w:tc>
          <w:tcPr>
            <w:tcW w:type="dxa" w:w="261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Вход → статус / ответ</w:t>
            </w:r>
          </w:p>
        </w:tc>
      </w:tr>
      <w:tr>
        <w:trPr>
          <w:cantSplit/>
        </w:trPr>
        <w:tc>
          <w:tcPr>
            <w:tcW w:type="dxa" w:w="99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GET</w:t>
            </w:r>
          </w:p>
        </w:tc>
        <w:tc>
          <w:tcPr>
            <w:tcW w:type="dxa" w:w="274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/api/v1/auth/mock-mail</w:t>
            </w:r>
          </w:p>
        </w:tc>
        <w:tc>
          <w:tcPr>
            <w:tcW w:type="dxa" w:w="299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П — Локальная demo-почта</w:t>
            </w:r>
          </w:p>
        </w:tc>
        <w:tc>
          <w:tcPr>
            <w:tcW w:type="dxa" w:w="261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—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 → 200 / MailView[]</w:t>
            </w:r>
          </w:p>
        </w:tc>
      </w:tr>
    </w:tbl>
    <w:p>
      <w:pPr>
        <w:spacing w:after="0"/>
        <w:ind w:firstLine="0"/>
      </w:pPr>
    </w:p>
    <w:p>
      <w:pPr>
        <w:pStyle w:val="Heading3"/>
      </w:pPr>
      <w:r>
        <w:rPr>
          <w:rFonts w:ascii="Times New Roman" w:hAnsi="Times New Roman" w:eastAsia="Times New Roman" w:cs="Times New Roman"/>
          <w:color w:val="000000"/>
          <w:u w:val="none"/>
        </w:rPr>
        <w:t>13.5. Сессия</w:t>
      </w:r>
    </w:p>
    <w:p>
      <w:pPr>
        <w:pStyle w:val="GOSTTableReference"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>Сведения приведены в таблице 8.</w:t>
      </w:r>
    </w:p>
    <w:p>
      <w:pPr>
        <w:pStyle w:val="GOSTTableCaption"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>Таблица 8 — Сессия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cantSplit/>
          <w:tblHeader w:val="true"/>
        </w:trPr>
        <w:tc>
          <w:tcPr>
            <w:tcW w:type="dxa" w:w="102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Метод</w:t>
            </w:r>
          </w:p>
        </w:tc>
        <w:tc>
          <w:tcPr>
            <w:tcW w:type="dxa" w:w="243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Путь</w:t>
            </w:r>
          </w:p>
        </w:tc>
        <w:tc>
          <w:tcPr>
            <w:tcW w:type="dxa" w:w="320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Роль / назначение</w:t>
            </w:r>
          </w:p>
        </w:tc>
        <w:tc>
          <w:tcPr>
            <w:tcW w:type="dxa" w:w="269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Вход → статус / ответ</w:t>
            </w:r>
          </w:p>
        </w:tc>
      </w:tr>
      <w:tr>
        <w:trPr>
          <w:cantSplit/>
        </w:trPr>
        <w:tc>
          <w:tcPr>
            <w:tcW w:type="dxa" w:w="102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GET</w:t>
            </w:r>
          </w:p>
        </w:tc>
        <w:tc>
          <w:tcPr>
            <w:tcW w:type="dxa" w:w="243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/api/v1/me</w:t>
            </w:r>
          </w:p>
        </w:tc>
        <w:tc>
          <w:tcPr>
            <w:tcW w:type="dxa" w:w="320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С — Своя сессия и CSRF</w:t>
            </w:r>
          </w:p>
        </w:tc>
        <w:tc>
          <w:tcPr>
            <w:tcW w:type="dxa" w:w="269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—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 → 200 / SessionView</w:t>
            </w:r>
          </w:p>
        </w:tc>
      </w:tr>
      <w:tr>
        <w:trPr>
          <w:cantSplit/>
        </w:trPr>
        <w:tc>
          <w:tcPr>
            <w:tcW w:type="dxa" w:w="102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POST</w:t>
            </w:r>
          </w:p>
        </w:tc>
        <w:tc>
          <w:tcPr>
            <w:tcW w:type="dxa" w:w="243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/api/v1/auth/logout</w:t>
            </w:r>
          </w:p>
        </w:tc>
        <w:tc>
          <w:tcPr>
            <w:tcW w:type="dxa" w:w="320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С — Завершить свою сессию</w:t>
            </w:r>
          </w:p>
        </w:tc>
        <w:tc>
          <w:tcPr>
            <w:tcW w:type="dxa" w:w="269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—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 → 204 / —</w:t>
            </w:r>
          </w:p>
        </w:tc>
      </w:tr>
    </w:tbl>
    <w:p>
      <w:pPr>
        <w:spacing w:after="0"/>
        <w:ind w:firstLine="0"/>
      </w:pPr>
    </w:p>
    <w:p>
      <w:pPr>
        <w:pStyle w:val="Heading3"/>
      </w:pPr>
      <w:r>
        <w:rPr>
          <w:rFonts w:ascii="Times New Roman" w:hAnsi="Times New Roman" w:eastAsia="Times New Roman" w:cs="Times New Roman"/>
          <w:color w:val="000000"/>
          <w:u w:val="none"/>
        </w:rPr>
        <w:t>13.6. Профиль</w:t>
      </w:r>
    </w:p>
    <w:p>
      <w:pPr>
        <w:pStyle w:val="GOSTTableReference"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>Сведения приведены в таблице 9.</w:t>
      </w:r>
    </w:p>
    <w:p>
      <w:pPr>
        <w:pStyle w:val="GOSTTableCaption"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>Таблица 9 — Профиль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cantSplit/>
          <w:tblHeader w:val="true"/>
        </w:trPr>
        <w:tc>
          <w:tcPr>
            <w:tcW w:type="dxa" w:w="60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Метод</w:t>
            </w:r>
          </w:p>
        </w:tc>
        <w:tc>
          <w:tcPr>
            <w:tcW w:type="dxa" w:w="241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Путь</w:t>
            </w:r>
          </w:p>
        </w:tc>
        <w:tc>
          <w:tcPr>
            <w:tcW w:type="dxa" w:w="294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Роль / назначение</w:t>
            </w:r>
          </w:p>
        </w:tc>
        <w:tc>
          <w:tcPr>
            <w:tcW w:type="dxa" w:w="339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Вход → статус / ответ</w:t>
            </w:r>
          </w:p>
        </w:tc>
      </w:tr>
      <w:tr>
        <w:trPr>
          <w:cantSplit/>
        </w:trPr>
        <w:tc>
          <w:tcPr>
            <w:tcW w:type="dxa" w:w="60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GET</w:t>
            </w:r>
          </w:p>
        </w:tc>
        <w:tc>
          <w:tcPr>
            <w:tcW w:type="dxa" w:w="241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/api/v1/candidate/profile</w:t>
            </w:r>
          </w:p>
        </w:tc>
        <w:tc>
          <w:tcPr>
            <w:tcW w:type="dxa" w:w="294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К — Полный собственный профиль</w:t>
            </w:r>
          </w:p>
        </w:tc>
        <w:tc>
          <w:tcPr>
            <w:tcW w:type="dxa" w:w="339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—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 → 200 / CandidateSelfView</w:t>
            </w:r>
          </w:p>
        </w:tc>
      </w:tr>
      <w:tr>
        <w:trPr>
          <w:cantSplit/>
        </w:trPr>
        <w:tc>
          <w:tcPr>
            <w:tcW w:type="dxa" w:w="60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PUT</w:t>
            </w:r>
          </w:p>
        </w:tc>
        <w:tc>
          <w:tcPr>
            <w:tcW w:type="dxa" w:w="241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/api/v1/candidate/profile</w:t>
            </w:r>
          </w:p>
        </w:tc>
        <w:tc>
          <w:tcPr>
            <w:tcW w:type="dxa" w:w="294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К — Заменить редактируемые поля</w:t>
            </w:r>
          </w:p>
        </w:tc>
        <w:tc>
          <w:tcPr>
            <w:tcW w:type="dxa" w:w="339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ProfileInput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 → 200 / SavedView</w:t>
            </w:r>
          </w:p>
        </w:tc>
      </w:tr>
      <w:tr>
        <w:trPr>
          <w:cantSplit/>
        </w:trPr>
        <w:tc>
          <w:tcPr>
            <w:tcW w:type="dxa" w:w="60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POST</w:t>
            </w:r>
          </w:p>
        </w:tc>
        <w:tc>
          <w:tcPr>
            <w:tcW w:type="dxa" w:w="241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/api/v1/candidate/resume-preview</w:t>
            </w:r>
          </w:p>
        </w:tc>
        <w:tc>
          <w:tcPr>
            <w:tcW w:type="dxa" w:w="294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К — Предпросмотр raw PDF без сохранения</w:t>
            </w:r>
          </w:p>
        </w:tc>
        <w:tc>
          <w:tcPr>
            <w:tcW w:type="dxa" w:w="339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raw application/pdf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 → 200 / ResumePreviewView</w:t>
            </w:r>
          </w:p>
        </w:tc>
      </w:tr>
    </w:tbl>
    <w:p>
      <w:pPr>
        <w:spacing w:after="0"/>
        <w:ind w:firstLine="0"/>
      </w:pPr>
    </w:p>
    <w:p>
      <w:pPr>
        <w:pStyle w:val="Heading3"/>
      </w:pPr>
      <w:r>
        <w:rPr>
          <w:rFonts w:ascii="Times New Roman" w:hAnsi="Times New Roman" w:eastAsia="Times New Roman" w:cs="Times New Roman"/>
          <w:color w:val="000000"/>
          <w:u w:val="none"/>
        </w:rPr>
        <w:t>13.7. Приватность</w:t>
      </w:r>
    </w:p>
    <w:p>
      <w:pPr>
        <w:pStyle w:val="GOSTTableReference"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>Сведения приведены в таблице 10.</w:t>
      </w:r>
    </w:p>
    <w:p>
      <w:pPr>
        <w:pStyle w:val="GOSTTableCaption"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>Таблица 10 — Приватность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cantSplit/>
          <w:tblHeader w:val="true"/>
        </w:trPr>
        <w:tc>
          <w:tcPr>
            <w:tcW w:type="dxa" w:w="65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Метод</w:t>
            </w:r>
          </w:p>
        </w:tc>
        <w:tc>
          <w:tcPr>
            <w:tcW w:type="dxa" w:w="317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Путь</w:t>
            </w:r>
          </w:p>
        </w:tc>
        <w:tc>
          <w:tcPr>
            <w:tcW w:type="dxa" w:w="260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Роль / назначение</w:t>
            </w:r>
          </w:p>
        </w:tc>
        <w:tc>
          <w:tcPr>
            <w:tcW w:type="dxa" w:w="2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Вход → статус / ответ</w:t>
            </w:r>
          </w:p>
        </w:tc>
      </w:tr>
      <w:tr>
        <w:trPr>
          <w:cantSplit/>
        </w:trPr>
        <w:tc>
          <w:tcPr>
            <w:tcW w:type="dxa" w:w="65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POST</w:t>
            </w:r>
          </w:p>
        </w:tc>
        <w:tc>
          <w:tcPr>
            <w:tcW w:type="dxa" w:w="317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/api/v1/candidate/consents</w:t>
            </w:r>
          </w:p>
        </w:tc>
        <w:tc>
          <w:tcPr>
            <w:tcW w:type="dxa" w:w="260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К — Включить/отозвать публикацию</w:t>
            </w:r>
          </w:p>
        </w:tc>
        <w:tc>
          <w:tcPr>
            <w:tcW w:type="dxa" w:w="2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ConsentInput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 → 200 / PublicationView</w:t>
            </w:r>
          </w:p>
        </w:tc>
      </w:tr>
      <w:tr>
        <w:trPr>
          <w:cantSplit/>
        </w:trPr>
        <w:tc>
          <w:tcPr>
            <w:tcW w:type="dxa" w:w="65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DELETE</w:t>
            </w:r>
          </w:p>
        </w:tc>
        <w:tc>
          <w:tcPr>
            <w:tcW w:type="dxa" w:w="317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/api/v1/candidate/contacts/{company_id}</w:t>
            </w:r>
          </w:p>
        </w:tc>
        <w:tc>
          <w:tcPr>
            <w:tcW w:type="dxa" w:w="260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К — Отозвать контакт компании</w:t>
            </w:r>
          </w:p>
        </w:tc>
        <w:tc>
          <w:tcPr>
            <w:tcW w:type="dxa" w:w="292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—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 → 204 / —</w:t>
            </w:r>
          </w:p>
        </w:tc>
      </w:tr>
    </w:tbl>
    <w:p>
      <w:pPr>
        <w:spacing w:after="0"/>
        <w:ind w:firstLine="0"/>
      </w:pPr>
    </w:p>
    <w:p>
      <w:pPr>
        <w:pStyle w:val="Heading3"/>
      </w:pPr>
      <w:r>
        <w:rPr>
          <w:rFonts w:ascii="Times New Roman" w:hAnsi="Times New Roman" w:eastAsia="Times New Roman" w:cs="Times New Roman"/>
          <w:color w:val="000000"/>
          <w:u w:val="none"/>
        </w:rPr>
        <w:t>13.8. Оценка</w:t>
      </w:r>
    </w:p>
    <w:p>
      <w:pPr>
        <w:pStyle w:val="GOSTTableReference"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>Сведения приведены в таблице 11.</w:t>
      </w:r>
    </w:p>
    <w:p>
      <w:pPr>
        <w:pStyle w:val="GOSTTableCaption"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>Таблица 11 — Оценка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cantSplit/>
          <w:tblHeader w:val="true"/>
        </w:trPr>
        <w:tc>
          <w:tcPr>
            <w:tcW w:type="dxa" w:w="60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Метод</w:t>
            </w:r>
          </w:p>
        </w:tc>
        <w:tc>
          <w:tcPr>
            <w:tcW w:type="dxa" w:w="354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Путь</w:t>
            </w:r>
          </w:p>
        </w:tc>
        <w:tc>
          <w:tcPr>
            <w:tcW w:type="dxa" w:w="279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Роль / назначение</w:t>
            </w:r>
          </w:p>
        </w:tc>
        <w:tc>
          <w:tcPr>
            <w:tcW w:type="dxa" w:w="241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Вход → статус / ответ</w:t>
            </w:r>
          </w:p>
        </w:tc>
      </w:tr>
      <w:tr>
        <w:trPr>
          <w:cantSplit/>
        </w:trPr>
        <w:tc>
          <w:tcPr>
            <w:tcW w:type="dxa" w:w="60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GET</w:t>
            </w:r>
          </w:p>
        </w:tc>
        <w:tc>
          <w:tcPr>
            <w:tcW w:type="dxa" w:w="354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/api/v1/candidate/active-assessment</w:t>
            </w:r>
          </w:p>
        </w:tc>
        <w:tc>
          <w:tcPr>
            <w:tcW w:type="dxa" w:w="279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К — Активная первичная форма</w:t>
            </w:r>
          </w:p>
        </w:tc>
        <w:tc>
          <w:tcPr>
            <w:tcW w:type="dxa" w:w="241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—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 → 200 / AttemptView / null</w:t>
            </w:r>
          </w:p>
        </w:tc>
      </w:tr>
      <w:tr>
        <w:trPr>
          <w:cantSplit/>
        </w:trPr>
        <w:tc>
          <w:tcPr>
            <w:tcW w:type="dxa" w:w="60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PUT</w:t>
            </w:r>
          </w:p>
        </w:tc>
        <w:tc>
          <w:tcPr>
            <w:tcW w:type="dxa" w:w="354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/api/v1/assessments/attempts/{attempt_id}/draft</w:t>
            </w:r>
          </w:p>
        </w:tc>
        <w:tc>
          <w:tcPr>
            <w:tcW w:type="dxa" w:w="279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К — Сохранить draft с CAS</w:t>
            </w:r>
          </w:p>
        </w:tc>
        <w:tc>
          <w:tcPr>
            <w:tcW w:type="dxa" w:w="241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DraftAnswers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 → 200 / AttemptView</w:t>
            </w:r>
          </w:p>
        </w:tc>
      </w:tr>
      <w:tr>
        <w:trPr>
          <w:cantSplit/>
        </w:trPr>
        <w:tc>
          <w:tcPr>
            <w:tcW w:type="dxa" w:w="60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GET</w:t>
            </w:r>
          </w:p>
        </w:tc>
        <w:tc>
          <w:tcPr>
            <w:tcW w:type="dxa" w:w="354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/api/v1/candidate/assessment-history</w:t>
            </w:r>
          </w:p>
        </w:tc>
        <w:tc>
          <w:tcPr>
            <w:tcW w:type="dxa" w:w="279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К — Собственная история оценок/грейда</w:t>
            </w:r>
          </w:p>
        </w:tc>
        <w:tc>
          <w:tcPr>
            <w:tcW w:type="dxa" w:w="241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—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 → 200 / AssessmentHistoryView</w:t>
            </w:r>
          </w:p>
        </w:tc>
      </w:tr>
    </w:tbl>
    <w:p>
      <w:pPr>
        <w:spacing w:after="0"/>
        <w:ind w:firstLine="0"/>
      </w:pPr>
    </w:p>
    <w:p>
      <w:pPr>
        <w:pStyle w:val="Heading3"/>
      </w:pPr>
      <w:r>
        <w:rPr>
          <w:rFonts w:ascii="Times New Roman" w:hAnsi="Times New Roman" w:eastAsia="Times New Roman" w:cs="Times New Roman"/>
          <w:color w:val="000000"/>
          <w:u w:val="none"/>
        </w:rPr>
        <w:t>13.9. Демо-оценка</w:t>
      </w:r>
    </w:p>
    <w:p>
      <w:pPr>
        <w:pStyle w:val="GOSTTableReference"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>Сведения приведены в таблице 12.</w:t>
      </w:r>
    </w:p>
    <w:p>
      <w:pPr>
        <w:pStyle w:val="GOSTTableCaption"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>Таблица 12 — Демо-оценка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cantSplit/>
          <w:tblHeader w:val="true"/>
        </w:trPr>
        <w:tc>
          <w:tcPr>
            <w:tcW w:type="dxa" w:w="53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Метод</w:t>
            </w:r>
          </w:p>
        </w:tc>
        <w:tc>
          <w:tcPr>
            <w:tcW w:type="dxa" w:w="320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Путь</w:t>
            </w:r>
          </w:p>
        </w:tc>
        <w:tc>
          <w:tcPr>
            <w:tcW w:type="dxa" w:w="320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Роль / назначение</w:t>
            </w:r>
          </w:p>
        </w:tc>
        <w:tc>
          <w:tcPr>
            <w:tcW w:type="dxa" w:w="240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Вход → статус / ответ</w:t>
            </w:r>
          </w:p>
        </w:tc>
      </w:tr>
      <w:tr>
        <w:trPr>
          <w:cantSplit/>
        </w:trPr>
        <w:tc>
          <w:tcPr>
            <w:tcW w:type="dxa" w:w="53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POST</w:t>
            </w:r>
          </w:p>
        </w:tc>
        <w:tc>
          <w:tcPr>
            <w:tcW w:type="dxa" w:w="320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/api/v1/assessments/attempts</w:t>
            </w:r>
          </w:p>
        </w:tc>
        <w:tc>
          <w:tcPr>
            <w:tcW w:type="dxa" w:w="320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К — Начать/вернуть первичную форму</w:t>
            </w:r>
          </w:p>
        </w:tc>
        <w:tc>
          <w:tcPr>
            <w:tcW w:type="dxa" w:w="240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AttemptInput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 → 201 / AttemptView</w:t>
            </w:r>
          </w:p>
        </w:tc>
      </w:tr>
      <w:tr>
        <w:trPr>
          <w:cantSplit/>
        </w:trPr>
        <w:tc>
          <w:tcPr>
            <w:tcW w:type="dxa" w:w="53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GET</w:t>
            </w:r>
          </w:p>
        </w:tc>
        <w:tc>
          <w:tcPr>
            <w:tcW w:type="dxa" w:w="320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/api/v1/assessments/attempts/{attempt_id}</w:t>
            </w:r>
          </w:p>
        </w:tc>
        <w:tc>
          <w:tcPr>
            <w:tcW w:type="dxa" w:w="320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К — Своя форма/черновик</w:t>
            </w:r>
          </w:p>
        </w:tc>
        <w:tc>
          <w:tcPr>
            <w:tcW w:type="dxa" w:w="240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—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 → 200 / AttemptView</w:t>
            </w:r>
          </w:p>
        </w:tc>
      </w:tr>
      <w:tr>
        <w:trPr>
          <w:cantSplit/>
        </w:trPr>
        <w:tc>
          <w:tcPr>
            <w:tcW w:type="dxa" w:w="53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POST</w:t>
            </w:r>
          </w:p>
        </w:tc>
        <w:tc>
          <w:tcPr>
            <w:tcW w:type="dxa" w:w="320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/api/v1/assessments/attempts/{attempt_id}/submit</w:t>
            </w:r>
          </w:p>
        </w:tc>
        <w:tc>
          <w:tcPr>
            <w:tcW w:type="dxa" w:w="320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К — Оценить переданные answers</w:t>
            </w:r>
          </w:p>
        </w:tc>
        <w:tc>
          <w:tcPr>
            <w:tcW w:type="dxa" w:w="240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Answers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 → 200 / AssessmentResultView</w:t>
            </w:r>
          </w:p>
        </w:tc>
      </w:tr>
      <w:tr>
        <w:trPr>
          <w:cantSplit/>
        </w:trPr>
        <w:tc>
          <w:tcPr>
            <w:tcW w:type="dxa" w:w="53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POST</w:t>
            </w:r>
          </w:p>
        </w:tc>
        <w:tc>
          <w:tcPr>
            <w:tcW w:type="dxa" w:w="320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/api/v1/assessments/attempts/{attempt_id}/integrity</w:t>
            </w:r>
          </w:p>
        </w:tc>
        <w:tc>
          <w:tcPr>
            <w:tcW w:type="dxa" w:w="320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К — Передать пакет технических сигналов своей активной формы</w:t>
            </w:r>
          </w:p>
        </w:tc>
        <w:tc>
          <w:tcPr>
            <w:tcW w:type="dxa" w:w="240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IntegrityBatch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 → 202 / IntegrityAck</w:t>
            </w:r>
          </w:p>
        </w:tc>
      </w:tr>
    </w:tbl>
    <w:p>
      <w:pPr>
        <w:spacing w:after="0"/>
        <w:ind w:firstLine="0"/>
      </w:pPr>
    </w:p>
    <w:p>
      <w:pPr>
        <w:pStyle w:val="Heading3"/>
      </w:pPr>
      <w:r>
        <w:rPr>
          <w:rFonts w:ascii="Times New Roman" w:hAnsi="Times New Roman" w:eastAsia="Times New Roman" w:cs="Times New Roman"/>
          <w:color w:val="000000"/>
          <w:u w:val="none"/>
        </w:rPr>
        <w:t>13.10. ФСП ID mock</w:t>
      </w:r>
    </w:p>
    <w:p>
      <w:pPr>
        <w:pStyle w:val="GOSTTableReference"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>Сведения приведены в таблице 13.</w:t>
      </w:r>
    </w:p>
    <w:p>
      <w:pPr>
        <w:pStyle w:val="GOSTTableCaption"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>Таблица 13 — ФСП ID mock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cantSplit/>
          <w:tblHeader w:val="true"/>
        </w:trPr>
        <w:tc>
          <w:tcPr>
            <w:tcW w:type="dxa" w:w="49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Метод</w:t>
            </w:r>
          </w:p>
        </w:tc>
        <w:tc>
          <w:tcPr>
            <w:tcW w:type="dxa" w:w="295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Путь</w:t>
            </w:r>
          </w:p>
        </w:tc>
        <w:tc>
          <w:tcPr>
            <w:tcW w:type="dxa" w:w="295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Роль / назначение</w:t>
            </w:r>
          </w:p>
        </w:tc>
        <w:tc>
          <w:tcPr>
            <w:tcW w:type="dxa" w:w="295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Вход → статус / ответ</w:t>
            </w:r>
          </w:p>
        </w:tc>
      </w:tr>
      <w:tr>
        <w:trPr>
          <w:cantSplit/>
        </w:trPr>
        <w:tc>
          <w:tcPr>
            <w:tcW w:type="dxa" w:w="49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GET</w:t>
            </w:r>
          </w:p>
        </w:tc>
        <w:tc>
          <w:tcPr>
            <w:tcW w:type="dxa" w:w="295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/api/v1/auth/mock-fsp-id/.well-known/openid-configuration</w:t>
            </w:r>
          </w:p>
        </w:tc>
        <w:tc>
          <w:tcPr>
            <w:tcW w:type="dxa" w:w="295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П — Discovery локального OIDC mock</w:t>
            </w:r>
          </w:p>
        </w:tc>
        <w:tc>
          <w:tcPr>
            <w:tcW w:type="dxa" w:w="295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—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 → 200 / object</w:t>
            </w:r>
          </w:p>
        </w:tc>
      </w:tr>
      <w:tr>
        <w:trPr>
          <w:cantSplit/>
        </w:trPr>
        <w:tc>
          <w:tcPr>
            <w:tcW w:type="dxa" w:w="49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GET</w:t>
            </w:r>
          </w:p>
        </w:tc>
        <w:tc>
          <w:tcPr>
            <w:tcW w:type="dxa" w:w="295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/api/v1/candidate/fsp-id/start</w:t>
            </w:r>
          </w:p>
        </w:tc>
        <w:tc>
          <w:tcPr>
            <w:tcW w:type="dxa" w:w="295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К — Создать state/PKCE и перенаправить к форме mock ID</w:t>
            </w:r>
          </w:p>
        </w:tc>
        <w:tc>
          <w:tcPr>
            <w:tcW w:type="dxa" w:w="295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—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 → 302 / HTML authorize</w:t>
            </w:r>
          </w:p>
        </w:tc>
      </w:tr>
      <w:tr>
        <w:trPr>
          <w:cantSplit/>
        </w:trPr>
        <w:tc>
          <w:tcPr>
            <w:tcW w:type="dxa" w:w="49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GET</w:t>
            </w:r>
          </w:p>
        </w:tc>
        <w:tc>
          <w:tcPr>
            <w:tcW w:type="dxa" w:w="295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/api/v1/auth/mock-fsp-id/authorize</w:t>
            </w:r>
          </w:p>
        </w:tc>
        <w:tc>
          <w:tcPr>
            <w:tcW w:type="dxa" w:w="295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П — HTML-форма mock ID для валидного state</w:t>
            </w:r>
          </w:p>
        </w:tc>
        <w:tc>
          <w:tcPr>
            <w:tcW w:type="dxa" w:w="295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query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state,redirect_uri,client_id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 → 200 HTML / 400 HTML</w:t>
            </w:r>
          </w:p>
        </w:tc>
      </w:tr>
      <w:tr>
        <w:trPr>
          <w:cantSplit/>
        </w:trPr>
        <w:tc>
          <w:tcPr>
            <w:tcW w:type="dxa" w:w="49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POST</w:t>
            </w:r>
          </w:p>
        </w:tc>
        <w:tc>
          <w:tcPr>
            <w:tcW w:type="dxa" w:w="295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/api/v1/auth/mock-fsp-id/authorize</w:t>
            </w:r>
          </w:p>
        </w:tc>
        <w:tc>
          <w:tcPr>
            <w:tcW w:type="dxa" w:w="295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П — Проверить ID/пароль и вернуть одноразовый code</w:t>
            </w:r>
          </w:p>
        </w:tc>
        <w:tc>
          <w:tcPr>
            <w:tcW w:type="dxa" w:w="295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form-urlencoded → 302 callback / 400 HTML</w:t>
            </w:r>
          </w:p>
        </w:tc>
      </w:tr>
      <w:tr>
        <w:trPr>
          <w:cantSplit/>
        </w:trPr>
        <w:tc>
          <w:tcPr>
            <w:tcW w:type="dxa" w:w="49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POST</w:t>
            </w:r>
          </w:p>
        </w:tc>
        <w:tc>
          <w:tcPr>
            <w:tcW w:type="dxa" w:w="295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/api/v1/auth/mock-fsp-id/token</w:t>
            </w:r>
          </w:p>
        </w:tc>
        <w:tc>
          <w:tcPr>
            <w:tcW w:type="dxa" w:w="295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П — Обмен code и verifier локального mock</w:t>
            </w:r>
          </w:p>
        </w:tc>
        <w:tc>
          <w:tcPr>
            <w:tcW w:type="dxa" w:w="295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FspToken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 → 200 / FspTokenOut</w:t>
            </w:r>
          </w:p>
        </w:tc>
      </w:tr>
      <w:tr>
        <w:trPr>
          <w:cantSplit/>
        </w:trPr>
        <w:tc>
          <w:tcPr>
            <w:tcW w:type="dxa" w:w="49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GET</w:t>
            </w:r>
          </w:p>
        </w:tc>
        <w:tc>
          <w:tcPr>
            <w:tcW w:type="dxa" w:w="295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/api/v1/candidate/fsp-id/callback</w:t>
            </w:r>
          </w:p>
        </w:tc>
        <w:tc>
          <w:tcPr>
            <w:tcW w:type="dxa" w:w="295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К — Закончить привязку только к начавшей сессии</w:t>
            </w:r>
          </w:p>
        </w:tc>
        <w:tc>
          <w:tcPr>
            <w:tcW w:type="dxa" w:w="295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query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code,state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 → 302 privacy</w:t>
            </w:r>
          </w:p>
        </w:tc>
      </w:tr>
      <w:tr>
        <w:trPr>
          <w:cantSplit/>
        </w:trPr>
        <w:tc>
          <w:tcPr>
            <w:tcW w:type="dxa" w:w="49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DELETE</w:t>
            </w:r>
          </w:p>
        </w:tc>
        <w:tc>
          <w:tcPr>
            <w:tcW w:type="dxa" w:w="295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/api/v1/candidate/fsp-link</w:t>
            </w:r>
          </w:p>
        </w:tc>
        <w:tc>
          <w:tcPr>
            <w:tcW w:type="dxa" w:w="295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К — Отвязать свой ФСП ID mock</w:t>
            </w:r>
          </w:p>
        </w:tc>
        <w:tc>
          <w:tcPr>
            <w:tcW w:type="dxa" w:w="295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—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 → 200 / FspLinkView</w:t>
            </w:r>
          </w:p>
        </w:tc>
      </w:tr>
    </w:tbl>
    <w:p>
      <w:pPr>
        <w:spacing w:after="0"/>
        <w:ind w:firstLine="0"/>
      </w:pPr>
    </w:p>
    <w:p>
      <w:pPr>
        <w:pStyle w:val="Heading3"/>
      </w:pPr>
      <w:r>
        <w:rPr>
          <w:rFonts w:ascii="Times New Roman" w:hAnsi="Times New Roman" w:eastAsia="Times New Roman" w:cs="Times New Roman"/>
          <w:color w:val="000000"/>
          <w:u w:val="none"/>
        </w:rPr>
        <w:t>13.11. Подбор</w:t>
      </w:r>
    </w:p>
    <w:p>
      <w:pPr>
        <w:pStyle w:val="GOSTTableReference"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>Сведения приведены в таблице 14.</w:t>
      </w:r>
    </w:p>
    <w:p>
      <w:pPr>
        <w:pStyle w:val="GOSTTableCaption"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>Таблица 14 — Подбор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cantSplit/>
          <w:tblHeader w:val="true"/>
        </w:trPr>
        <w:tc>
          <w:tcPr>
            <w:tcW w:type="dxa" w:w="53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Метод</w:t>
            </w:r>
          </w:p>
        </w:tc>
        <w:tc>
          <w:tcPr>
            <w:tcW w:type="dxa" w:w="320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Путь</w:t>
            </w:r>
          </w:p>
        </w:tc>
        <w:tc>
          <w:tcPr>
            <w:tcW w:type="dxa" w:w="320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Роль / назначение</w:t>
            </w:r>
          </w:p>
        </w:tc>
        <w:tc>
          <w:tcPr>
            <w:tcW w:type="dxa" w:w="240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Вход → статус / ответ</w:t>
            </w:r>
          </w:p>
        </w:tc>
      </w:tr>
      <w:tr>
        <w:trPr>
          <w:cantSplit/>
        </w:trPr>
        <w:tc>
          <w:tcPr>
            <w:tcW w:type="dxa" w:w="53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GET</w:t>
            </w:r>
          </w:p>
        </w:tc>
        <w:tc>
          <w:tcPr>
            <w:tcW w:type="dxa" w:w="320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/api/v1/company/searches</w:t>
            </w:r>
          </w:p>
        </w:tc>
        <w:tc>
          <w:tcPr>
            <w:tcW w:type="dxa" w:w="320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Р — Последние собственные поиски</w:t>
            </w:r>
          </w:p>
        </w:tc>
        <w:tc>
          <w:tcPr>
            <w:tcW w:type="dxa" w:w="240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—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 → 200 / SearchSnapshotView[]</w:t>
            </w:r>
          </w:p>
        </w:tc>
      </w:tr>
      <w:tr>
        <w:trPr>
          <w:cantSplit/>
        </w:trPr>
        <w:tc>
          <w:tcPr>
            <w:tcW w:type="dxa" w:w="53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GET</w:t>
            </w:r>
          </w:p>
        </w:tc>
        <w:tc>
          <w:tcPr>
            <w:tcW w:type="dxa" w:w="320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/api/v1/company/searches/page</w:t>
            </w:r>
          </w:p>
        </w:tc>
        <w:tc>
          <w:tcPr>
            <w:tcW w:type="dxa" w:w="320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Р — Страница полной собственной истории; offset/limit</w:t>
            </w:r>
          </w:p>
        </w:tc>
        <w:tc>
          <w:tcPr>
            <w:tcW w:type="dxa" w:w="240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—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 → 200 / SearchHistoryPage</w:t>
            </w:r>
          </w:p>
        </w:tc>
      </w:tr>
      <w:tr>
        <w:trPr>
          <w:cantSplit/>
        </w:trPr>
        <w:tc>
          <w:tcPr>
            <w:tcW w:type="dxa" w:w="53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POST</w:t>
            </w:r>
          </w:p>
        </w:tc>
        <w:tc>
          <w:tcPr>
            <w:tcW w:type="dxa" w:w="320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/api/v1/company/searches</w:t>
            </w:r>
          </w:p>
        </w:tc>
        <w:tc>
          <w:tcPr>
            <w:tcW w:type="dxa" w:w="320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Р — Новый поиск и snapshot</w:t>
            </w:r>
          </w:p>
        </w:tc>
        <w:tc>
          <w:tcPr>
            <w:tcW w:type="dxa" w:w="240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SearchInput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 → 201 / SearchResultView</w:t>
            </w:r>
          </w:p>
        </w:tc>
      </w:tr>
      <w:tr>
        <w:trPr>
          <w:cantSplit/>
        </w:trPr>
        <w:tc>
          <w:tcPr>
            <w:tcW w:type="dxa" w:w="53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POST</w:t>
            </w:r>
          </w:p>
        </w:tc>
        <w:tc>
          <w:tcPr>
            <w:tcW w:type="dxa" w:w="320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/api/v1/company/searches/{search_id}/candidates/{candidate_id}/explanation</w:t>
            </w:r>
          </w:p>
        </w:tc>
        <w:tc>
          <w:tcPr>
            <w:tcW w:type="dxa" w:w="320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Р — Словесное объяснение строки своей подборки</w:t>
            </w:r>
          </w:p>
        </w:tc>
        <w:tc>
          <w:tcPr>
            <w:tcW w:type="dxa" w:w="240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—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 → 200 / ExplanationOut</w:t>
            </w:r>
          </w:p>
        </w:tc>
      </w:tr>
      <w:tr>
        <w:trPr>
          <w:cantSplit/>
        </w:trPr>
        <w:tc>
          <w:tcPr>
            <w:tcW w:type="dxa" w:w="53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GET</w:t>
            </w:r>
          </w:p>
        </w:tc>
        <w:tc>
          <w:tcPr>
            <w:tcW w:type="dxa" w:w="320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/api/v1/company/candidates/{candidate_id}</w:t>
            </w:r>
          </w:p>
        </w:tc>
        <w:tc>
          <w:tcPr>
            <w:tcW w:type="dxa" w:w="320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Р — Разрешённая проекция кандидата</w:t>
            </w:r>
          </w:p>
        </w:tc>
        <w:tc>
          <w:tcPr>
            <w:tcW w:type="dxa" w:w="240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—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 → 200 / CompanyCandidateView</w:t>
            </w:r>
          </w:p>
        </w:tc>
      </w:tr>
      <w:tr>
        <w:trPr>
          <w:cantSplit/>
        </w:trPr>
        <w:tc>
          <w:tcPr>
            <w:tcW w:type="dxa" w:w="53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GET</w:t>
            </w:r>
          </w:p>
        </w:tc>
        <w:tc>
          <w:tcPr>
            <w:tcW w:type="dxa" w:w="320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/api/v1/company/shortlist</w:t>
            </w:r>
          </w:p>
        </w:tc>
        <w:tc>
          <w:tcPr>
            <w:tcW w:type="dxa" w:w="320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Р — Свой shortlist</w:t>
            </w:r>
          </w:p>
        </w:tc>
        <w:tc>
          <w:tcPr>
            <w:tcW w:type="dxa" w:w="240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—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 → 200 / CandidateView[]</w:t>
            </w:r>
          </w:p>
        </w:tc>
      </w:tr>
      <w:tr>
        <w:trPr>
          <w:cantSplit/>
        </w:trPr>
        <w:tc>
          <w:tcPr>
            <w:tcW w:type="dxa" w:w="53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PUT</w:t>
            </w:r>
          </w:p>
        </w:tc>
        <w:tc>
          <w:tcPr>
            <w:tcW w:type="dxa" w:w="320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/api/v1/company/shortlist/{candidate_id}</w:t>
            </w:r>
          </w:p>
        </w:tc>
        <w:tc>
          <w:tcPr>
            <w:tcW w:type="dxa" w:w="320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Р — Добавить опубликованный профиль</w:t>
            </w:r>
          </w:p>
        </w:tc>
        <w:tc>
          <w:tcPr>
            <w:tcW w:type="dxa" w:w="240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—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 → 204 / —</w:t>
            </w:r>
          </w:p>
        </w:tc>
      </w:tr>
      <w:tr>
        <w:trPr>
          <w:cantSplit/>
        </w:trPr>
        <w:tc>
          <w:tcPr>
            <w:tcW w:type="dxa" w:w="53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DELETE</w:t>
            </w:r>
          </w:p>
        </w:tc>
        <w:tc>
          <w:tcPr>
            <w:tcW w:type="dxa" w:w="320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/api/v1/company/shortlist/{candidate_id}</w:t>
            </w:r>
          </w:p>
        </w:tc>
        <w:tc>
          <w:tcPr>
            <w:tcW w:type="dxa" w:w="320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Р — Удалить из своего shortlist</w:t>
            </w:r>
          </w:p>
        </w:tc>
        <w:tc>
          <w:tcPr>
            <w:tcW w:type="dxa" w:w="240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—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 → 204 / —</w:t>
            </w:r>
          </w:p>
        </w:tc>
      </w:tr>
      <w:tr>
        <w:trPr>
          <w:cantSplit/>
        </w:trPr>
        <w:tc>
          <w:tcPr>
            <w:tcW w:type="dxa" w:w="53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GET</w:t>
            </w:r>
          </w:p>
        </w:tc>
        <w:tc>
          <w:tcPr>
            <w:tcW w:type="dxa" w:w="320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/api/v1/company/categories</w:t>
            </w:r>
          </w:p>
        </w:tc>
        <w:tc>
          <w:tcPr>
            <w:tcW w:type="dxa" w:w="320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Р — Опубликованные категории/численность</w:t>
            </w:r>
          </w:p>
        </w:tc>
        <w:tc>
          <w:tcPr>
            <w:tcW w:type="dxa" w:w="240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—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 → 200 / CategoryView[]</w:t>
            </w:r>
          </w:p>
        </w:tc>
      </w:tr>
      <w:tr>
        <w:trPr>
          <w:cantSplit/>
        </w:trPr>
        <w:tc>
          <w:tcPr>
            <w:tcW w:type="dxa" w:w="53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GET</w:t>
            </w:r>
          </w:p>
        </w:tc>
        <w:tc>
          <w:tcPr>
            <w:tcW w:type="dxa" w:w="320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/api/v1/company/searches/{search_id}</w:t>
            </w:r>
          </w:p>
        </w:tc>
        <w:tc>
          <w:tcPr>
            <w:tcW w:type="dxa" w:w="320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Р — Своя историческая подборка с текущими правами</w:t>
            </w:r>
          </w:p>
        </w:tc>
        <w:tc>
          <w:tcPr>
            <w:tcW w:type="dxa" w:w="240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—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 → 200 / RestoredSearchView</w:t>
            </w:r>
          </w:p>
        </w:tc>
      </w:tr>
    </w:tbl>
    <w:p>
      <w:pPr>
        <w:spacing w:after="0"/>
        <w:ind w:firstLine="0"/>
      </w:pPr>
    </w:p>
    <w:p>
      <w:pPr>
        <w:pStyle w:val="Heading3"/>
      </w:pPr>
      <w:r>
        <w:rPr>
          <w:rFonts w:ascii="Times New Roman" w:hAnsi="Times New Roman" w:eastAsia="Times New Roman" w:cs="Times New Roman"/>
          <w:color w:val="000000"/>
          <w:u w:val="none"/>
        </w:rPr>
        <w:t>13.12. Приглашения</w:t>
      </w:r>
    </w:p>
    <w:p>
      <w:pPr>
        <w:pStyle w:val="GOSTTableReference"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>Сведения приведены в таблице 15.</w:t>
      </w:r>
    </w:p>
    <w:p>
      <w:pPr>
        <w:pStyle w:val="GOSTTableCaption"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>Таблица 15 — Приглашения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cantSplit/>
          <w:tblHeader w:val="true"/>
        </w:trPr>
        <w:tc>
          <w:tcPr>
            <w:tcW w:type="dxa" w:w="56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Метод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Путь</w:t>
            </w:r>
          </w:p>
        </w:tc>
        <w:tc>
          <w:tcPr>
            <w:tcW w:type="dxa" w:w="304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Роль / назначение</w:t>
            </w:r>
          </w:p>
        </w:tc>
        <w:tc>
          <w:tcPr>
            <w:tcW w:type="dxa" w:w="233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Вход → статус / ответ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POST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/api/v1/company/invitations</w:t>
            </w:r>
          </w:p>
        </w:tc>
        <w:tc>
          <w:tcPr>
            <w:tcW w:type="dxa" w:w="304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Р — Предложение с зарплатой/idempotency</w:t>
            </w:r>
          </w:p>
        </w:tc>
        <w:tc>
          <w:tcPr>
            <w:tcW w:type="dxa" w:w="233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OfferInput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 → 201 / InvitationView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GET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/api/v1/company/invitations</w:t>
            </w:r>
          </w:p>
        </w:tc>
        <w:tc>
          <w:tcPr>
            <w:tcW w:type="dxa" w:w="304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Р — Свои отправленные предложения</w:t>
            </w:r>
          </w:p>
        </w:tc>
        <w:tc>
          <w:tcPr>
            <w:tcW w:type="dxa" w:w="233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—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 → 200 / InvitationView[]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GET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/api/v1/candidate/invitations</w:t>
            </w:r>
          </w:p>
        </w:tc>
        <w:tc>
          <w:tcPr>
            <w:tcW w:type="dxa" w:w="304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К — Свои полученные предложения</w:t>
            </w:r>
          </w:p>
        </w:tc>
        <w:tc>
          <w:tcPr>
            <w:tcW w:type="dxa" w:w="233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—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 → 200 / InvitationView[]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POST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/api/v1/candidate/invitations/{offer_id}/view</w:t>
            </w:r>
          </w:p>
        </w:tc>
        <w:tc>
          <w:tcPr>
            <w:tcW w:type="dxa" w:w="304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К — Отметить своё предложение просмотренным</w:t>
            </w:r>
          </w:p>
        </w:tc>
        <w:tc>
          <w:tcPr>
            <w:tcW w:type="dxa" w:w="233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—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 → 200 / InvitationView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POST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/api/v1/candidate/invitations/{offer_id}/decision</w:t>
            </w:r>
          </w:p>
        </w:tc>
        <w:tc>
          <w:tcPr>
            <w:tcW w:type="dxa" w:w="304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К — Принять/отклонить своё предложение</w:t>
            </w:r>
          </w:p>
        </w:tc>
        <w:tc>
          <w:tcPr>
            <w:tcW w:type="dxa" w:w="233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Decision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 → 200 / InvitationView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POST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/api/v1/company/invitations/{offer_id}/withdraw</w:t>
            </w:r>
          </w:p>
        </w:tc>
        <w:tc>
          <w:tcPr>
            <w:tcW w:type="dxa" w:w="304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Р — Отозвать своё открытое предложение</w:t>
            </w:r>
          </w:p>
        </w:tc>
        <w:tc>
          <w:tcPr>
            <w:tcW w:type="dxa" w:w="233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—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 → 200 / InvitationView</w:t>
            </w:r>
          </w:p>
        </w:tc>
      </w:tr>
    </w:tbl>
    <w:p>
      <w:pPr>
        <w:spacing w:after="0"/>
        <w:ind w:firstLine="0"/>
      </w:pPr>
    </w:p>
    <w:p>
      <w:pPr>
        <w:pStyle w:val="Heading3"/>
      </w:pPr>
      <w:r>
        <w:rPr>
          <w:rFonts w:ascii="Times New Roman" w:hAnsi="Times New Roman" w:eastAsia="Times New Roman" w:cs="Times New Roman"/>
          <w:color w:val="000000"/>
          <w:u w:val="none"/>
        </w:rPr>
        <w:t>13.13. Сообщения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 xml:space="preserve">Диалог доступен только при открытом контакте (принятое приглашение либо активный отклик); после отзыва контакта история читается, отправка возвращает 403. Лимит — 20 сообщений в час на отправителя в диалоге (429). Текст хранится как обычный текст, длина 1–2000 символов. Чтение не меняет данные; прочитанность отмечает отдельный </w:t>
      </w:r>
      <w:r>
        <w:rPr>
          <w:rFonts w:ascii="Times New Roman" w:hAnsi="Times New Roman" w:eastAsia="Times New Roman" w:cs="Times New Roman"/>
          <w:color w:val="000000"/>
          <w:u w:val="none"/>
        </w:rPr>
        <w:t>POST …/read</w:t>
      </w:r>
      <w:r>
        <w:rPr>
          <w:rFonts w:ascii="Times New Roman" w:hAnsi="Times New Roman" w:eastAsia="Times New Roman" w:cs="Times New Roman"/>
          <w:color w:val="000000"/>
          <w:u w:val="none"/>
        </w:rPr>
        <w:t>.</w:t>
      </w:r>
    </w:p>
    <w:p>
      <w:pPr>
        <w:pStyle w:val="GOSTTableReference"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>Сведения приведены в таблице 16.</w:t>
      </w:r>
    </w:p>
    <w:p>
      <w:pPr>
        <w:pStyle w:val="GOSTTableCaption"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>Таблица 16 — Сообщения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cantSplit/>
          <w:tblHeader w:val="true"/>
        </w:trPr>
        <w:tc>
          <w:tcPr>
            <w:tcW w:type="dxa" w:w="5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Метод</w:t>
            </w:r>
          </w:p>
        </w:tc>
        <w:tc>
          <w:tcPr>
            <w:tcW w:type="dxa" w:w="331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Путь</w:t>
            </w:r>
          </w:p>
        </w:tc>
        <w:tc>
          <w:tcPr>
            <w:tcW w:type="dxa" w:w="250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Роль / назначение</w:t>
            </w:r>
          </w:p>
        </w:tc>
        <w:tc>
          <w:tcPr>
            <w:tcW w:type="dxa" w:w="294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Вход → статус / ответ</w:t>
            </w:r>
          </w:p>
        </w:tc>
      </w:tr>
      <w:tr>
        <w:trPr>
          <w:cantSplit/>
        </w:trPr>
        <w:tc>
          <w:tcPr>
            <w:tcW w:type="dxa" w:w="5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GET</w:t>
            </w:r>
          </w:p>
        </w:tc>
        <w:tc>
          <w:tcPr>
            <w:tcW w:type="dxa" w:w="331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/api/v1/company/chats</w:t>
            </w:r>
          </w:p>
        </w:tc>
        <w:tc>
          <w:tcPr>
            <w:tcW w:type="dxa" w:w="250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Р — Свои диалоги с кандидатами</w:t>
            </w:r>
          </w:p>
        </w:tc>
        <w:tc>
          <w:tcPr>
            <w:tcW w:type="dxa" w:w="294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—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 → 200 / ChatThreadView[]</w:t>
            </w:r>
          </w:p>
        </w:tc>
      </w:tr>
      <w:tr>
        <w:trPr>
          <w:cantSplit/>
        </w:trPr>
        <w:tc>
          <w:tcPr>
            <w:tcW w:type="dxa" w:w="5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GET</w:t>
            </w:r>
          </w:p>
        </w:tc>
        <w:tc>
          <w:tcPr>
            <w:tcW w:type="dxa" w:w="331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/api/v1/company/chats/{candidate_id}/messages</w:t>
            </w:r>
          </w:p>
        </w:tc>
        <w:tc>
          <w:tcPr>
            <w:tcW w:type="dxa" w:w="250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Р — Сообщения диалога</w:t>
            </w:r>
          </w:p>
        </w:tc>
        <w:tc>
          <w:tcPr>
            <w:tcW w:type="dxa" w:w="294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limit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 → 200 / ChatMessageView[]</w:t>
            </w:r>
          </w:p>
        </w:tc>
      </w:tr>
      <w:tr>
        <w:trPr>
          <w:cantSplit/>
        </w:trPr>
        <w:tc>
          <w:tcPr>
            <w:tcW w:type="dxa" w:w="5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POST</w:t>
            </w:r>
          </w:p>
        </w:tc>
        <w:tc>
          <w:tcPr>
            <w:tcW w:type="dxa" w:w="331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/api/v1/company/chats/{candidate_id}/messages</w:t>
            </w:r>
          </w:p>
        </w:tc>
        <w:tc>
          <w:tcPr>
            <w:tcW w:type="dxa" w:w="250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Р — Отправить сообщение</w:t>
            </w:r>
          </w:p>
        </w:tc>
        <w:tc>
          <w:tcPr>
            <w:tcW w:type="dxa" w:w="294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ChatMessageInput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 → 201 / ChatMessageView</w:t>
            </w:r>
          </w:p>
        </w:tc>
      </w:tr>
      <w:tr>
        <w:trPr>
          <w:cantSplit/>
        </w:trPr>
        <w:tc>
          <w:tcPr>
            <w:tcW w:type="dxa" w:w="5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POST</w:t>
            </w:r>
          </w:p>
        </w:tc>
        <w:tc>
          <w:tcPr>
            <w:tcW w:type="dxa" w:w="331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/api/v1/company/chats/{candidate_id}/read</w:t>
            </w:r>
          </w:p>
        </w:tc>
        <w:tc>
          <w:tcPr>
            <w:tcW w:type="dxa" w:w="250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Р — Отметить входящие прочитанными</w:t>
            </w:r>
          </w:p>
        </w:tc>
        <w:tc>
          <w:tcPr>
            <w:tcW w:type="dxa" w:w="294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—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 → 200 / ReadResult</w:t>
            </w:r>
          </w:p>
        </w:tc>
      </w:tr>
      <w:tr>
        <w:trPr>
          <w:cantSplit/>
        </w:trPr>
        <w:tc>
          <w:tcPr>
            <w:tcW w:type="dxa" w:w="5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GET</w:t>
            </w:r>
          </w:p>
        </w:tc>
        <w:tc>
          <w:tcPr>
            <w:tcW w:type="dxa" w:w="331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/api/v1/candidate/chats</w:t>
            </w:r>
          </w:p>
        </w:tc>
        <w:tc>
          <w:tcPr>
            <w:tcW w:type="dxa" w:w="250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К — Свои диалоги с компаниями</w:t>
            </w:r>
          </w:p>
        </w:tc>
        <w:tc>
          <w:tcPr>
            <w:tcW w:type="dxa" w:w="294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—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 → 200 / ChatThreadView[]</w:t>
            </w:r>
          </w:p>
        </w:tc>
      </w:tr>
      <w:tr>
        <w:trPr>
          <w:cantSplit/>
        </w:trPr>
        <w:tc>
          <w:tcPr>
            <w:tcW w:type="dxa" w:w="5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GET</w:t>
            </w:r>
          </w:p>
        </w:tc>
        <w:tc>
          <w:tcPr>
            <w:tcW w:type="dxa" w:w="331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/api/v1/candidate/chats/{company_id}/messages</w:t>
            </w:r>
          </w:p>
        </w:tc>
        <w:tc>
          <w:tcPr>
            <w:tcW w:type="dxa" w:w="250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К — Сообщения диалога</w:t>
            </w:r>
          </w:p>
        </w:tc>
        <w:tc>
          <w:tcPr>
            <w:tcW w:type="dxa" w:w="294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limit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 → 200 / ChatMessageView[]</w:t>
            </w:r>
          </w:p>
        </w:tc>
      </w:tr>
      <w:tr>
        <w:trPr>
          <w:cantSplit/>
        </w:trPr>
        <w:tc>
          <w:tcPr>
            <w:tcW w:type="dxa" w:w="5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POST</w:t>
            </w:r>
          </w:p>
        </w:tc>
        <w:tc>
          <w:tcPr>
            <w:tcW w:type="dxa" w:w="331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/api/v1/candidate/chats/{company_id}/messages</w:t>
            </w:r>
          </w:p>
        </w:tc>
        <w:tc>
          <w:tcPr>
            <w:tcW w:type="dxa" w:w="250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К — Отправить сообщение</w:t>
            </w:r>
          </w:p>
        </w:tc>
        <w:tc>
          <w:tcPr>
            <w:tcW w:type="dxa" w:w="294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ChatMessageInput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 → 201 / ChatMessageView</w:t>
            </w:r>
          </w:p>
        </w:tc>
      </w:tr>
      <w:tr>
        <w:trPr>
          <w:cantSplit/>
        </w:trPr>
        <w:tc>
          <w:tcPr>
            <w:tcW w:type="dxa" w:w="58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POST</w:t>
            </w:r>
          </w:p>
        </w:tc>
        <w:tc>
          <w:tcPr>
            <w:tcW w:type="dxa" w:w="331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/api/v1/candidate/chats/{company_id}/read</w:t>
            </w:r>
          </w:p>
        </w:tc>
        <w:tc>
          <w:tcPr>
            <w:tcW w:type="dxa" w:w="250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К — Отметить входящие прочитанными</w:t>
            </w:r>
          </w:p>
        </w:tc>
        <w:tc>
          <w:tcPr>
            <w:tcW w:type="dxa" w:w="294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—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 → 200 / ReadResult</w:t>
            </w:r>
          </w:p>
        </w:tc>
      </w:tr>
    </w:tbl>
    <w:p>
      <w:pPr>
        <w:spacing w:after="0"/>
        <w:ind w:firstLine="0"/>
      </w:pPr>
    </w:p>
    <w:p>
      <w:pPr>
        <w:pStyle w:val="Heading3"/>
      </w:pPr>
      <w:r>
        <w:rPr>
          <w:rFonts w:ascii="Times New Roman" w:hAnsi="Times New Roman" w:eastAsia="Times New Roman" w:cs="Times New Roman"/>
          <w:color w:val="000000"/>
          <w:u w:val="none"/>
        </w:rPr>
        <w:t>13.14. Экспорт</w:t>
      </w:r>
    </w:p>
    <w:p>
      <w:pPr>
        <w:pStyle w:val="GOSTTableReference"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>Сведения приведены в таблице 17.</w:t>
      </w:r>
    </w:p>
    <w:p>
      <w:pPr>
        <w:pStyle w:val="GOSTTableCaption"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>Таблица 17 — Экспорт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cantSplit/>
          <w:tblHeader w:val="true"/>
        </w:trPr>
        <w:tc>
          <w:tcPr>
            <w:tcW w:type="dxa" w:w="68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Метод</w:t>
            </w:r>
          </w:p>
        </w:tc>
        <w:tc>
          <w:tcPr>
            <w:tcW w:type="dxa" w:w="411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Путь</w:t>
            </w:r>
          </w:p>
        </w:tc>
        <w:tc>
          <w:tcPr>
            <w:tcW w:type="dxa" w:w="240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Роль / назначение</w:t>
            </w:r>
          </w:p>
        </w:tc>
        <w:tc>
          <w:tcPr>
            <w:tcW w:type="dxa" w:w="214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Вход → статус / ответ</w:t>
            </w:r>
          </w:p>
        </w:tc>
      </w:tr>
      <w:tr>
        <w:trPr>
          <w:cantSplit/>
        </w:trPr>
        <w:tc>
          <w:tcPr>
            <w:tcW w:type="dxa" w:w="68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GET</w:t>
            </w:r>
          </w:p>
        </w:tc>
        <w:tc>
          <w:tcPr>
            <w:tcW w:type="dxa" w:w="411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/api/v1/candidate/profile.pdf</w:t>
            </w:r>
          </w:p>
        </w:tc>
        <w:tc>
          <w:tcPr>
            <w:tcW w:type="dxa" w:w="240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К — PDF своего профиля</w:t>
            </w:r>
          </w:p>
        </w:tc>
        <w:tc>
          <w:tcPr>
            <w:tcW w:type="dxa" w:w="214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—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 → 200 / application/pdf</w:t>
            </w:r>
          </w:p>
        </w:tc>
      </w:tr>
      <w:tr>
        <w:trPr>
          <w:cantSplit/>
        </w:trPr>
        <w:tc>
          <w:tcPr>
            <w:tcW w:type="dxa" w:w="68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GET</w:t>
            </w:r>
          </w:p>
        </w:tc>
        <w:tc>
          <w:tcPr>
            <w:tcW w:type="dxa" w:w="411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/api/v1/company/candidates/{candidate_id}/profile.pdf</w:t>
            </w:r>
          </w:p>
        </w:tc>
        <w:tc>
          <w:tcPr>
            <w:tcW w:type="dxa" w:w="2403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Р — PDF разрешённой проекции</w:t>
            </w:r>
          </w:p>
        </w:tc>
        <w:tc>
          <w:tcPr>
            <w:tcW w:type="dxa" w:w="214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—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 → 200 / application/pdf</w:t>
            </w:r>
          </w:p>
        </w:tc>
      </w:tr>
    </w:tbl>
    <w:p>
      <w:pPr>
        <w:spacing w:after="0"/>
        <w:ind w:firstLine="0"/>
      </w:pPr>
    </w:p>
    <w:p>
      <w:pPr>
        <w:pStyle w:val="Heading3"/>
      </w:pPr>
      <w:r>
        <w:rPr>
          <w:rFonts w:ascii="Times New Roman" w:hAnsi="Times New Roman" w:eastAsia="Times New Roman" w:cs="Times New Roman"/>
          <w:color w:val="000000"/>
          <w:u w:val="none"/>
        </w:rPr>
        <w:t>13.15. Справочники</w:t>
      </w:r>
    </w:p>
    <w:p>
      <w:pPr>
        <w:pStyle w:val="GOSTTableReference"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>Сведения приведены в таблице 18.</w:t>
      </w:r>
    </w:p>
    <w:p>
      <w:pPr>
        <w:pStyle w:val="GOSTTableCaption"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>Таблица 18 — Справочники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cantSplit/>
          <w:tblHeader w:val="true"/>
        </w:trPr>
        <w:tc>
          <w:tcPr>
            <w:tcW w:type="dxa" w:w="102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Метод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Путь</w:t>
            </w:r>
          </w:p>
        </w:tc>
        <w:tc>
          <w:tcPr>
            <w:tcW w:type="dxa" w:w="371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Роль / назначение</w:t>
            </w:r>
          </w:p>
        </w:tc>
        <w:tc>
          <w:tcPr>
            <w:tcW w:type="dxa" w:w="269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Вход → статус / ответ</w:t>
            </w:r>
          </w:p>
        </w:tc>
      </w:tr>
      <w:tr>
        <w:trPr>
          <w:cantSplit/>
        </w:trPr>
        <w:tc>
          <w:tcPr>
            <w:tcW w:type="dxa" w:w="102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GET</w:t>
            </w:r>
          </w:p>
        </w:tc>
        <w:tc>
          <w:tcPr>
            <w:tcW w:type="dxa" w:w="192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/api/v1/catalog</w:t>
            </w:r>
          </w:p>
        </w:tc>
        <w:tc>
          <w:tcPr>
            <w:tcW w:type="dxa" w:w="371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П — Направления/грейды/навыки</w:t>
            </w:r>
          </w:p>
        </w:tc>
        <w:tc>
          <w:tcPr>
            <w:tcW w:type="dxa" w:w="269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—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 → 200 / CatalogView</w:t>
            </w:r>
          </w:p>
        </w:tc>
      </w:tr>
    </w:tbl>
    <w:p>
      <w:pPr>
        <w:spacing w:after="0"/>
        <w:ind w:firstLine="0"/>
      </w:pPr>
    </w:p>
    <w:p>
      <w:pPr>
        <w:pStyle w:val="Heading3"/>
      </w:pPr>
      <w:r>
        <w:rPr>
          <w:rFonts w:ascii="Times New Roman" w:hAnsi="Times New Roman" w:eastAsia="Times New Roman" w:cs="Times New Roman"/>
          <w:color w:val="000000"/>
          <w:u w:val="none"/>
        </w:rPr>
        <w:t>13.16. Компания</w:t>
      </w:r>
    </w:p>
    <w:p>
      <w:pPr>
        <w:pStyle w:val="GOSTTableReference"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>Сведения приведены в таблице 19.</w:t>
      </w:r>
    </w:p>
    <w:p>
      <w:pPr>
        <w:pStyle w:val="GOSTTableCaption"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>Таблица 19 — Компания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cantSplit/>
          <w:tblHeader w:val="true"/>
        </w:trPr>
        <w:tc>
          <w:tcPr>
            <w:tcW w:type="dxa" w:w="78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Метод</w:t>
            </w:r>
          </w:p>
        </w:tc>
        <w:tc>
          <w:tcPr>
            <w:tcW w:type="dxa" w:w="226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Путь</w:t>
            </w:r>
          </w:p>
        </w:tc>
        <w:tc>
          <w:tcPr>
            <w:tcW w:type="dxa" w:w="315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Роль / назначение</w:t>
            </w:r>
          </w:p>
        </w:tc>
        <w:tc>
          <w:tcPr>
            <w:tcW w:type="dxa" w:w="315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Вход → статус / ответ</w:t>
            </w:r>
          </w:p>
        </w:tc>
      </w:tr>
      <w:tr>
        <w:trPr>
          <w:cantSplit/>
        </w:trPr>
        <w:tc>
          <w:tcPr>
            <w:tcW w:type="dxa" w:w="78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GET</w:t>
            </w:r>
          </w:p>
        </w:tc>
        <w:tc>
          <w:tcPr>
            <w:tcW w:type="dxa" w:w="226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/api/v1/company/profile</w:t>
            </w:r>
          </w:p>
        </w:tc>
        <w:tc>
          <w:tcPr>
            <w:tcW w:type="dxa" w:w="315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Р — Собственный профиль компании</w:t>
            </w:r>
          </w:p>
        </w:tc>
        <w:tc>
          <w:tcPr>
            <w:tcW w:type="dxa" w:w="315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—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 → 200 / CompanyView</w:t>
            </w:r>
          </w:p>
        </w:tc>
      </w:tr>
      <w:tr>
        <w:trPr>
          <w:cantSplit/>
        </w:trPr>
        <w:tc>
          <w:tcPr>
            <w:tcW w:type="dxa" w:w="78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PUT</w:t>
            </w:r>
          </w:p>
        </w:tc>
        <w:tc>
          <w:tcPr>
            <w:tcW w:type="dxa" w:w="226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/api/v1/company/profile</w:t>
            </w:r>
          </w:p>
        </w:tc>
        <w:tc>
          <w:tcPr>
            <w:tcW w:type="dxa" w:w="315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Р — Сохранить профиль компании</w:t>
            </w:r>
          </w:p>
        </w:tc>
        <w:tc>
          <w:tcPr>
            <w:tcW w:type="dxa" w:w="315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CompanyInput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 → 200 / CompanyView</w:t>
            </w:r>
          </w:p>
        </w:tc>
      </w:tr>
    </w:tbl>
    <w:p>
      <w:pPr>
        <w:spacing w:after="0"/>
        <w:ind w:firstLine="0"/>
      </w:pPr>
    </w:p>
    <w:p>
      <w:pPr>
        <w:pStyle w:val="Heading3"/>
      </w:pPr>
      <w:r>
        <w:rPr>
          <w:rFonts w:ascii="Times New Roman" w:hAnsi="Times New Roman" w:eastAsia="Times New Roman" w:cs="Times New Roman"/>
          <w:color w:val="000000"/>
          <w:u w:val="none"/>
        </w:rPr>
        <w:t>13.17. Потребности</w:t>
      </w:r>
    </w:p>
    <w:p>
      <w:pPr>
        <w:pStyle w:val="GOSTTableReference"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>Сведения приведены в таблице 20.</w:t>
      </w:r>
    </w:p>
    <w:p>
      <w:pPr>
        <w:pStyle w:val="GOSTTableCaption"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>Таблица 20 — Потребности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cantSplit/>
          <w:tblHeader w:val="true"/>
        </w:trPr>
        <w:tc>
          <w:tcPr>
            <w:tcW w:type="dxa" w:w="79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Метод</w:t>
            </w:r>
          </w:p>
        </w:tc>
        <w:tc>
          <w:tcPr>
            <w:tcW w:type="dxa" w:w="209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Путь</w:t>
            </w:r>
          </w:p>
        </w:tc>
        <w:tc>
          <w:tcPr>
            <w:tcW w:type="dxa" w:w="388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Роль / назначение</w:t>
            </w:r>
          </w:p>
        </w:tc>
        <w:tc>
          <w:tcPr>
            <w:tcW w:type="dxa" w:w="258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Вход → статус / ответ</w:t>
            </w:r>
          </w:p>
        </w:tc>
      </w:tr>
      <w:tr>
        <w:trPr>
          <w:cantSplit/>
        </w:trPr>
        <w:tc>
          <w:tcPr>
            <w:tcW w:type="dxa" w:w="79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GET</w:t>
            </w:r>
          </w:p>
        </w:tc>
        <w:tc>
          <w:tcPr>
            <w:tcW w:type="dxa" w:w="209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/api/v1/company/needs</w:t>
            </w:r>
          </w:p>
        </w:tc>
        <w:tc>
          <w:tcPr>
            <w:tcW w:type="dxa" w:w="388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Р — Сохранённые собственные потребности</w:t>
            </w:r>
          </w:p>
        </w:tc>
        <w:tc>
          <w:tcPr>
            <w:tcW w:type="dxa" w:w="258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—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 → 200 / NeedView[]</w:t>
            </w:r>
          </w:p>
        </w:tc>
      </w:tr>
      <w:tr>
        <w:trPr>
          <w:cantSplit/>
        </w:trPr>
        <w:tc>
          <w:tcPr>
            <w:tcW w:type="dxa" w:w="79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POST</w:t>
            </w:r>
          </w:p>
        </w:tc>
        <w:tc>
          <w:tcPr>
            <w:tcW w:type="dxa" w:w="209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/api/v1/company/needs</w:t>
            </w:r>
          </w:p>
        </w:tc>
        <w:tc>
          <w:tcPr>
            <w:tcW w:type="dxa" w:w="388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Р — Создать собственную потребность</w:t>
            </w:r>
          </w:p>
        </w:tc>
        <w:tc>
          <w:tcPr>
            <w:tcW w:type="dxa" w:w="258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NeedInput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 → 201 / NeedView</w:t>
            </w:r>
          </w:p>
        </w:tc>
      </w:tr>
    </w:tbl>
    <w:p>
      <w:pPr>
        <w:spacing w:after="0"/>
        <w:ind w:firstLine="0"/>
      </w:pPr>
    </w:p>
    <w:p>
      <w:pPr>
        <w:pStyle w:val="Heading3"/>
      </w:pPr>
      <w:r>
        <w:rPr>
          <w:rFonts w:ascii="Times New Roman" w:hAnsi="Times New Roman" w:eastAsia="Times New Roman" w:cs="Times New Roman"/>
          <w:color w:val="000000"/>
          <w:u w:val="none"/>
        </w:rPr>
        <w:t>13.18. Вакансии</w:t>
      </w:r>
    </w:p>
    <w:p>
      <w:pPr>
        <w:pStyle w:val="GOSTTableReference"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>Сведения приведены в таблице 21.</w:t>
      </w:r>
    </w:p>
    <w:p>
      <w:pPr>
        <w:pStyle w:val="GOSTTableCaption"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>Таблица 21 — Вакансии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cantSplit/>
          <w:tblHeader w:val="true"/>
        </w:trPr>
        <w:tc>
          <w:tcPr>
            <w:tcW w:type="dxa" w:w="63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Метод</w:t>
            </w:r>
          </w:p>
        </w:tc>
        <w:tc>
          <w:tcPr>
            <w:tcW w:type="dxa" w:w="301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Путь</w:t>
            </w:r>
          </w:p>
        </w:tc>
        <w:tc>
          <w:tcPr>
            <w:tcW w:type="dxa" w:w="317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Роль / назначение</w:t>
            </w:r>
          </w:p>
        </w:tc>
        <w:tc>
          <w:tcPr>
            <w:tcW w:type="dxa" w:w="253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Вход → статус / ответ</w:t>
            </w:r>
          </w:p>
        </w:tc>
      </w:tr>
      <w:tr>
        <w:trPr>
          <w:cantSplit/>
        </w:trPr>
        <w:tc>
          <w:tcPr>
            <w:tcW w:type="dxa" w:w="63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GET</w:t>
            </w:r>
          </w:p>
        </w:tc>
        <w:tc>
          <w:tcPr>
            <w:tcW w:type="dxa" w:w="301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/api/v1/company/vacancies</w:t>
            </w:r>
          </w:p>
        </w:tc>
        <w:tc>
          <w:tcPr>
            <w:tcW w:type="dxa" w:w="317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Р — Свои вакансии</w:t>
            </w:r>
          </w:p>
        </w:tc>
        <w:tc>
          <w:tcPr>
            <w:tcW w:type="dxa" w:w="253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—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 → 200 / VacancyView[]</w:t>
            </w:r>
          </w:p>
        </w:tc>
      </w:tr>
      <w:tr>
        <w:trPr>
          <w:cantSplit/>
        </w:trPr>
        <w:tc>
          <w:tcPr>
            <w:tcW w:type="dxa" w:w="63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POST</w:t>
            </w:r>
          </w:p>
        </w:tc>
        <w:tc>
          <w:tcPr>
            <w:tcW w:type="dxa" w:w="301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/api/v1/company/vacancies</w:t>
            </w:r>
          </w:p>
        </w:tc>
        <w:tc>
          <w:tcPr>
            <w:tcW w:type="dxa" w:w="317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Р — Создать свою вакансию</w:t>
            </w:r>
          </w:p>
        </w:tc>
        <w:tc>
          <w:tcPr>
            <w:tcW w:type="dxa" w:w="253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VacancyInput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 → 201 / VacancyView</w:t>
            </w:r>
          </w:p>
        </w:tc>
      </w:tr>
      <w:tr>
        <w:trPr>
          <w:cantSplit/>
        </w:trPr>
        <w:tc>
          <w:tcPr>
            <w:tcW w:type="dxa" w:w="63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PUT</w:t>
            </w:r>
          </w:p>
        </w:tc>
        <w:tc>
          <w:tcPr>
            <w:tcW w:type="dxa" w:w="301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/api/v1/company/vacancies/{vacancy_id}</w:t>
            </w:r>
          </w:p>
        </w:tc>
        <w:tc>
          <w:tcPr>
            <w:tcW w:type="dxa" w:w="317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Р — Заменить свою вакансию с version CAS</w:t>
            </w:r>
          </w:p>
        </w:tc>
        <w:tc>
          <w:tcPr>
            <w:tcW w:type="dxa" w:w="253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VacancyInput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 → 200 / VacancyView</w:t>
            </w:r>
          </w:p>
        </w:tc>
      </w:tr>
      <w:tr>
        <w:trPr>
          <w:cantSplit/>
        </w:trPr>
        <w:tc>
          <w:tcPr>
            <w:tcW w:type="dxa" w:w="63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GET</w:t>
            </w:r>
          </w:p>
        </w:tc>
        <w:tc>
          <w:tcPr>
            <w:tcW w:type="dxa" w:w="301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/api/v1/candidate/vacancies</w:t>
            </w:r>
          </w:p>
        </w:tc>
        <w:tc>
          <w:tcPr>
            <w:tcW w:type="dxa" w:w="317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К — Опубликованные вакансии</w:t>
            </w:r>
          </w:p>
        </w:tc>
        <w:tc>
          <w:tcPr>
            <w:tcW w:type="dxa" w:w="253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—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 → 200 / VacancyView[]</w:t>
            </w:r>
          </w:p>
        </w:tc>
      </w:tr>
    </w:tbl>
    <w:p>
      <w:pPr>
        <w:spacing w:after="0"/>
        <w:ind w:firstLine="0"/>
      </w:pPr>
    </w:p>
    <w:p>
      <w:pPr>
        <w:pStyle w:val="Heading3"/>
      </w:pPr>
      <w:r>
        <w:rPr>
          <w:rFonts w:ascii="Times New Roman" w:hAnsi="Times New Roman" w:eastAsia="Times New Roman" w:cs="Times New Roman"/>
          <w:color w:val="000000"/>
          <w:u w:val="none"/>
        </w:rPr>
        <w:t>13.19. Отклики</w:t>
      </w:r>
    </w:p>
    <w:p>
      <w:pPr>
        <w:pStyle w:val="GOSTTableReference"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>Сведения приведены в таблице 22.</w:t>
      </w:r>
    </w:p>
    <w:p>
      <w:pPr>
        <w:pStyle w:val="GOSTTableCaption"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>Таблица 22 — Отклики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cantSplit/>
          <w:tblHeader w:val="true"/>
        </w:trPr>
        <w:tc>
          <w:tcPr>
            <w:tcW w:type="dxa" w:w="55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Метод</w:t>
            </w:r>
          </w:p>
        </w:tc>
        <w:tc>
          <w:tcPr>
            <w:tcW w:type="dxa" w:w="330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Путь</w:t>
            </w:r>
          </w:p>
        </w:tc>
        <w:tc>
          <w:tcPr>
            <w:tcW w:type="dxa" w:w="254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Роль / назначение</w:t>
            </w:r>
          </w:p>
        </w:tc>
        <w:tc>
          <w:tcPr>
            <w:tcW w:type="dxa" w:w="295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Вход → статус / ответ</w:t>
            </w:r>
          </w:p>
        </w:tc>
      </w:tr>
      <w:tr>
        <w:trPr>
          <w:cantSplit/>
        </w:trPr>
        <w:tc>
          <w:tcPr>
            <w:tcW w:type="dxa" w:w="55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POST</w:t>
            </w:r>
          </w:p>
        </w:tc>
        <w:tc>
          <w:tcPr>
            <w:tcW w:type="dxa" w:w="330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/api/v1/candidate/vacancies/{vacancy_id}/apply</w:t>
            </w:r>
          </w:p>
        </w:tc>
        <w:tc>
          <w:tcPr>
            <w:tcW w:type="dxa" w:w="254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К — Отклик и grant компании вакансии</w:t>
            </w:r>
          </w:p>
        </w:tc>
        <w:tc>
          <w:tcPr>
            <w:tcW w:type="dxa" w:w="295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—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 → 201 / ApplicationView</w:t>
            </w:r>
          </w:p>
        </w:tc>
      </w:tr>
      <w:tr>
        <w:trPr>
          <w:cantSplit/>
        </w:trPr>
        <w:tc>
          <w:tcPr>
            <w:tcW w:type="dxa" w:w="55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GET</w:t>
            </w:r>
          </w:p>
        </w:tc>
        <w:tc>
          <w:tcPr>
            <w:tcW w:type="dxa" w:w="330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/api/v1/candidate/applications</w:t>
            </w:r>
          </w:p>
        </w:tc>
        <w:tc>
          <w:tcPr>
            <w:tcW w:type="dxa" w:w="254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К — Свои отклики</w:t>
            </w:r>
          </w:p>
        </w:tc>
        <w:tc>
          <w:tcPr>
            <w:tcW w:type="dxa" w:w="295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—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 → 200 / ApplicationView[]</w:t>
            </w:r>
          </w:p>
        </w:tc>
      </w:tr>
      <w:tr>
        <w:trPr>
          <w:cantSplit/>
        </w:trPr>
        <w:tc>
          <w:tcPr>
            <w:tcW w:type="dxa" w:w="55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GET</w:t>
            </w:r>
          </w:p>
        </w:tc>
        <w:tc>
          <w:tcPr>
            <w:tcW w:type="dxa" w:w="330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/api/v1/company/applications</w:t>
            </w:r>
          </w:p>
        </w:tc>
        <w:tc>
          <w:tcPr>
            <w:tcW w:type="dxa" w:w="254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Р — Отклики на свои вакансии</w:t>
            </w:r>
          </w:p>
        </w:tc>
        <w:tc>
          <w:tcPr>
            <w:tcW w:type="dxa" w:w="295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—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 → 200 / ApplicationView[]</w:t>
            </w:r>
          </w:p>
        </w:tc>
      </w:tr>
      <w:tr>
        <w:trPr>
          <w:cantSplit/>
        </w:trPr>
        <w:tc>
          <w:tcPr>
            <w:tcW w:type="dxa" w:w="55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POST</w:t>
            </w:r>
          </w:p>
        </w:tc>
        <w:tc>
          <w:tcPr>
            <w:tcW w:type="dxa" w:w="330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/api/v1/company/applications/{application_id}/decision</w:t>
            </w:r>
          </w:p>
        </w:tc>
        <w:tc>
          <w:tcPr>
            <w:tcW w:type="dxa" w:w="254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Р — Решение по отклику своей компании</w:t>
            </w:r>
          </w:p>
        </w:tc>
        <w:tc>
          <w:tcPr>
            <w:tcW w:type="dxa" w:w="295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ApplicationDecision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 → 200 / ApplicationView</w:t>
            </w:r>
          </w:p>
        </w:tc>
      </w:tr>
      <w:tr>
        <w:trPr>
          <w:cantSplit/>
        </w:trPr>
        <w:tc>
          <w:tcPr>
            <w:tcW w:type="dxa" w:w="55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POST</w:t>
            </w:r>
          </w:p>
        </w:tc>
        <w:tc>
          <w:tcPr>
            <w:tcW w:type="dxa" w:w="330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/api/v1/candidate/applications/{application_id}/withdraw</w:t>
            </w:r>
          </w:p>
        </w:tc>
        <w:tc>
          <w:tcPr>
            <w:tcW w:type="dxa" w:w="254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К — Отозвать свой отклик</w:t>
            </w:r>
          </w:p>
        </w:tc>
        <w:tc>
          <w:tcPr>
            <w:tcW w:type="dxa" w:w="2958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—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 → 200 / ApplicationView</w:t>
            </w:r>
          </w:p>
        </w:tc>
      </w:tr>
    </w:tbl>
    <w:p>
      <w:pPr>
        <w:spacing w:after="0"/>
        <w:ind w:firstLine="0"/>
      </w:pPr>
    </w:p>
    <w:p>
      <w:pPr>
        <w:pStyle w:val="Heading3"/>
      </w:pPr>
      <w:r>
        <w:rPr>
          <w:rFonts w:ascii="Times New Roman" w:hAnsi="Times New Roman" w:eastAsia="Times New Roman" w:cs="Times New Roman"/>
          <w:color w:val="000000"/>
          <w:u w:val="none"/>
        </w:rPr>
        <w:t>13.20. Короткие задания</w:t>
      </w:r>
    </w:p>
    <w:p>
      <w:pPr>
        <w:pStyle w:val="GOSTTableReference"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>Сведения приведены в таблице 23.</w:t>
      </w:r>
    </w:p>
    <w:p>
      <w:pPr>
        <w:pStyle w:val="GOSTTableCaption"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>Таблица 23 — Короткие задания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cantSplit/>
          <w:tblHeader w:val="true"/>
        </w:trPr>
        <w:tc>
          <w:tcPr>
            <w:tcW w:type="dxa" w:w="54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Метод</w:t>
            </w:r>
          </w:p>
        </w:tc>
        <w:tc>
          <w:tcPr>
            <w:tcW w:type="dxa" w:w="327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Путь</w:t>
            </w:r>
          </w:p>
        </w:tc>
        <w:tc>
          <w:tcPr>
            <w:tcW w:type="dxa" w:w="314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Роль / назначение</w:t>
            </w:r>
          </w:p>
        </w:tc>
        <w:tc>
          <w:tcPr>
            <w:tcW w:type="dxa" w:w="239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Вход → статус / ответ</w:t>
            </w:r>
          </w:p>
        </w:tc>
      </w:tr>
      <w:tr>
        <w:trPr>
          <w:cantSplit/>
        </w:trPr>
        <w:tc>
          <w:tcPr>
            <w:tcW w:type="dxa" w:w="54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GET</w:t>
            </w:r>
          </w:p>
        </w:tc>
        <w:tc>
          <w:tcPr>
            <w:tcW w:type="dxa" w:w="327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/api/v1/company/tasks</w:t>
            </w:r>
          </w:p>
        </w:tc>
        <w:tc>
          <w:tcPr>
            <w:tcW w:type="dxa" w:w="314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Р — Свои короткие текстовые задания</w:t>
            </w:r>
          </w:p>
        </w:tc>
        <w:tc>
          <w:tcPr>
            <w:tcW w:type="dxa" w:w="239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—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 → 200 / EmployerTaskView[]</w:t>
            </w:r>
          </w:p>
        </w:tc>
      </w:tr>
      <w:tr>
        <w:trPr>
          <w:cantSplit/>
        </w:trPr>
        <w:tc>
          <w:tcPr>
            <w:tcW w:type="dxa" w:w="54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POST</w:t>
            </w:r>
          </w:p>
        </w:tc>
        <w:tc>
          <w:tcPr>
            <w:tcW w:type="dxa" w:w="327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/api/v1/company/tasks</w:t>
            </w:r>
          </w:p>
        </w:tc>
        <w:tc>
          <w:tcPr>
            <w:tcW w:type="dxa" w:w="314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Р — Создать короткое задание</w:t>
            </w:r>
          </w:p>
        </w:tc>
        <w:tc>
          <w:tcPr>
            <w:tcW w:type="dxa" w:w="239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TaskInput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 → 201 / EmployerTaskView</w:t>
            </w:r>
          </w:p>
        </w:tc>
      </w:tr>
      <w:tr>
        <w:trPr>
          <w:cantSplit/>
        </w:trPr>
        <w:tc>
          <w:tcPr>
            <w:tcW w:type="dxa" w:w="54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GET</w:t>
            </w:r>
          </w:p>
        </w:tc>
        <w:tc>
          <w:tcPr>
            <w:tcW w:type="dxa" w:w="327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/api/v1/candidate/tasks</w:t>
            </w:r>
          </w:p>
        </w:tc>
        <w:tc>
          <w:tcPr>
            <w:tcW w:type="dxa" w:w="314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К — Доступные короткие задания/свои ответы</w:t>
            </w:r>
          </w:p>
        </w:tc>
        <w:tc>
          <w:tcPr>
            <w:tcW w:type="dxa" w:w="239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—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 → 200 / SuggestedTasksView</w:t>
            </w:r>
          </w:p>
        </w:tc>
      </w:tr>
      <w:tr>
        <w:trPr>
          <w:cantSplit/>
        </w:trPr>
        <w:tc>
          <w:tcPr>
            <w:tcW w:type="dxa" w:w="54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POST</w:t>
            </w:r>
          </w:p>
        </w:tc>
        <w:tc>
          <w:tcPr>
            <w:tcW w:type="dxa" w:w="327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/api/v1/candidate/tasks/{task_id}/submit</w:t>
            </w:r>
          </w:p>
        </w:tc>
        <w:tc>
          <w:tcPr>
            <w:tcW w:type="dxa" w:w="314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К — Ответить на доступное короткое задание</w:t>
            </w:r>
          </w:p>
        </w:tc>
        <w:tc>
          <w:tcPr>
            <w:tcW w:type="dxa" w:w="239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TaskAnswer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 → 201 / TaskResponseView</w:t>
            </w:r>
          </w:p>
        </w:tc>
      </w:tr>
      <w:tr>
        <w:trPr>
          <w:cantSplit/>
        </w:trPr>
        <w:tc>
          <w:tcPr>
            <w:tcW w:type="dxa" w:w="54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GET</w:t>
            </w:r>
          </w:p>
        </w:tc>
        <w:tc>
          <w:tcPr>
            <w:tcW w:type="dxa" w:w="327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/api/v1/company/task-responses</w:t>
            </w:r>
          </w:p>
        </w:tc>
        <w:tc>
          <w:tcPr>
            <w:tcW w:type="dxa" w:w="314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Р — Ответы на свои короткие задания</w:t>
            </w:r>
          </w:p>
        </w:tc>
        <w:tc>
          <w:tcPr>
            <w:tcW w:type="dxa" w:w="239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—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 → 200 / TaskResponseView[]</w:t>
            </w:r>
          </w:p>
        </w:tc>
      </w:tr>
      <w:tr>
        <w:trPr>
          <w:cantSplit/>
        </w:trPr>
        <w:tc>
          <w:tcPr>
            <w:tcW w:type="dxa" w:w="54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POST</w:t>
            </w:r>
          </w:p>
        </w:tc>
        <w:tc>
          <w:tcPr>
            <w:tcW w:type="dxa" w:w="327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/api/v1/company/task-responses/{response_id}/review</w:t>
            </w:r>
          </w:p>
        </w:tc>
        <w:tc>
          <w:tcPr>
            <w:tcW w:type="dxa" w:w="314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Р — Зафиксировать ручную оценку своего задания</w:t>
            </w:r>
          </w:p>
        </w:tc>
        <w:tc>
          <w:tcPr>
            <w:tcW w:type="dxa" w:w="239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TaskReview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 → 200 / TaskResponseView</w:t>
            </w:r>
          </w:p>
        </w:tc>
      </w:tr>
    </w:tbl>
    <w:p>
      <w:pPr>
        <w:spacing w:after="0"/>
        <w:ind w:firstLine="0"/>
      </w:pPr>
    </w:p>
    <w:p>
      <w:pPr>
        <w:pStyle w:val="Heading3"/>
      </w:pPr>
      <w:r>
        <w:rPr>
          <w:rFonts w:ascii="Times New Roman" w:hAnsi="Times New Roman" w:eastAsia="Times New Roman" w:cs="Times New Roman"/>
          <w:color w:val="000000"/>
          <w:u w:val="none"/>
        </w:rPr>
        <w:t>13.21. Конструктор</w:t>
      </w:r>
    </w:p>
    <w:p>
      <w:pPr>
        <w:pStyle w:val="GOSTTableReference"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>Сведения приведены в таблице 24.</w:t>
      </w:r>
    </w:p>
    <w:p>
      <w:pPr>
        <w:pStyle w:val="GOSTTableCaption"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>Таблица 24 — Конструктор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cantSplit/>
          <w:tblHeader w:val="true"/>
        </w:trPr>
        <w:tc>
          <w:tcPr>
            <w:tcW w:type="dxa" w:w="5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Метод</w:t>
            </w:r>
          </w:p>
        </w:tc>
        <w:tc>
          <w:tcPr>
            <w:tcW w:type="dxa" w:w="303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Путь</w:t>
            </w:r>
          </w:p>
        </w:tc>
        <w:tc>
          <w:tcPr>
            <w:tcW w:type="dxa" w:w="303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Роль / назначение</w:t>
            </w:r>
          </w:p>
        </w:tc>
        <w:tc>
          <w:tcPr>
            <w:tcW w:type="dxa" w:w="278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Вход → статус / ответ</w:t>
            </w:r>
          </w:p>
        </w:tc>
      </w:tr>
      <w:tr>
        <w:trPr>
          <w:cantSplit/>
        </w:trPr>
        <w:tc>
          <w:tcPr>
            <w:tcW w:type="dxa" w:w="5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GET</w:t>
            </w:r>
          </w:p>
        </w:tc>
        <w:tc>
          <w:tcPr>
            <w:tcW w:type="dxa" w:w="303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/api/v1/company/banks</w:t>
            </w:r>
          </w:p>
        </w:tc>
        <w:tc>
          <w:tcPr>
            <w:tcW w:type="dxa" w:w="303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Р — Свои банки со всеми версиями</w:t>
            </w:r>
          </w:p>
        </w:tc>
        <w:tc>
          <w:tcPr>
            <w:tcW w:type="dxa" w:w="278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—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 → 200 / BankView[]</w:t>
            </w:r>
          </w:p>
        </w:tc>
      </w:tr>
      <w:tr>
        <w:trPr>
          <w:cantSplit/>
        </w:trPr>
        <w:tc>
          <w:tcPr>
            <w:tcW w:type="dxa" w:w="5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POST</w:t>
            </w:r>
          </w:p>
        </w:tc>
        <w:tc>
          <w:tcPr>
            <w:tcW w:type="dxa" w:w="303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/api/v1/company/banks</w:t>
            </w:r>
          </w:p>
        </w:tc>
        <w:tc>
          <w:tcPr>
            <w:tcW w:type="dxa" w:w="303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Р — Создать банк и draft</w:t>
            </w:r>
          </w:p>
        </w:tc>
        <w:tc>
          <w:tcPr>
            <w:tcW w:type="dxa" w:w="278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BankCreate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 → 201 / BankView</w:t>
            </w:r>
          </w:p>
        </w:tc>
      </w:tr>
      <w:tr>
        <w:trPr>
          <w:cantSplit/>
        </w:trPr>
        <w:tc>
          <w:tcPr>
            <w:tcW w:type="dxa" w:w="5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GET</w:t>
            </w:r>
          </w:p>
        </w:tc>
        <w:tc>
          <w:tcPr>
            <w:tcW w:type="dxa" w:w="303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/api/v1/company/banks/{bank_id}</w:t>
            </w:r>
          </w:p>
        </w:tc>
        <w:tc>
          <w:tcPr>
            <w:tcW w:type="dxa" w:w="303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Р — Свой банк и история версий</w:t>
            </w:r>
          </w:p>
        </w:tc>
        <w:tc>
          <w:tcPr>
            <w:tcW w:type="dxa" w:w="278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—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 → 200 / BankView</w:t>
            </w:r>
          </w:p>
        </w:tc>
      </w:tr>
      <w:tr>
        <w:trPr>
          <w:cantSplit/>
        </w:trPr>
        <w:tc>
          <w:tcPr>
            <w:tcW w:type="dxa" w:w="5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PATCH</w:t>
            </w:r>
          </w:p>
        </w:tc>
        <w:tc>
          <w:tcPr>
            <w:tcW w:type="dxa" w:w="303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/api/v1/company/banks/{bank_id}/versions/{version_id}</w:t>
            </w:r>
          </w:p>
        </w:tc>
        <w:tc>
          <w:tcPr>
            <w:tcW w:type="dxa" w:w="303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Р — Заменить свой draft с revision CAS</w:t>
            </w:r>
          </w:p>
        </w:tc>
        <w:tc>
          <w:tcPr>
            <w:tcW w:type="dxa" w:w="278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VersionSave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 → 200 / VersionAuthor</w:t>
            </w:r>
          </w:p>
        </w:tc>
      </w:tr>
      <w:tr>
        <w:trPr>
          <w:cantSplit/>
        </w:trPr>
        <w:tc>
          <w:tcPr>
            <w:tcW w:type="dxa" w:w="5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POST</w:t>
            </w:r>
          </w:p>
        </w:tc>
        <w:tc>
          <w:tcPr>
            <w:tcW w:type="dxa" w:w="303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/api/v1/company/banks/{bank_id}/versions/{version_id}/suggest-task</w:t>
            </w:r>
          </w:p>
        </w:tc>
        <w:tc>
          <w:tcPr>
            <w:tcW w:type="dxa" w:w="303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Р — Предложить приватный ИИ-черновик для своей текущей draft-версии; без записи и публикации</w:t>
            </w:r>
          </w:p>
        </w:tc>
        <w:tc>
          <w:tcPr>
            <w:tcW w:type="dxa" w:w="278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TaskSuggestionInput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 → 200 / GenerationResult</w:t>
            </w:r>
          </w:p>
        </w:tc>
      </w:tr>
      <w:tr>
        <w:trPr>
          <w:cantSplit/>
        </w:trPr>
        <w:tc>
          <w:tcPr>
            <w:tcW w:type="dxa" w:w="5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POST</w:t>
            </w:r>
          </w:p>
        </w:tc>
        <w:tc>
          <w:tcPr>
            <w:tcW w:type="dxa" w:w="303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/api/v1/company/banks/{bank_id}/versions/{version_id}/publish</w:t>
            </w:r>
          </w:p>
        </w:tc>
        <w:tc>
          <w:tcPr>
            <w:tcW w:type="dxa" w:w="303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Р — Проверить и опубликовать draft</w:t>
            </w:r>
          </w:p>
        </w:tc>
        <w:tc>
          <w:tcPr>
            <w:tcW w:type="dxa" w:w="278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Revision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 → 200 / VersionAuthor</w:t>
            </w:r>
          </w:p>
        </w:tc>
      </w:tr>
      <w:tr>
        <w:trPr>
          <w:cantSplit/>
        </w:trPr>
        <w:tc>
          <w:tcPr>
            <w:tcW w:type="dxa" w:w="5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POST</w:t>
            </w:r>
          </w:p>
        </w:tc>
        <w:tc>
          <w:tcPr>
            <w:tcW w:type="dxa" w:w="303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/api/v1/company/banks/{bank_id}/versions/{version_id}/fork</w:t>
            </w:r>
          </w:p>
        </w:tc>
        <w:tc>
          <w:tcPr>
            <w:tcW w:type="dxa" w:w="303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Р — Создать draft из своей версии</w:t>
            </w:r>
          </w:p>
        </w:tc>
        <w:tc>
          <w:tcPr>
            <w:tcW w:type="dxa" w:w="278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—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 → 201 / VersionAuthor</w:t>
            </w:r>
          </w:p>
        </w:tc>
      </w:tr>
      <w:tr>
        <w:trPr>
          <w:cantSplit/>
        </w:trPr>
        <w:tc>
          <w:tcPr>
            <w:tcW w:type="dxa" w:w="5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POST</w:t>
            </w:r>
          </w:p>
        </w:tc>
        <w:tc>
          <w:tcPr>
            <w:tcW w:type="dxa" w:w="303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/api/v1/company/banks/{bank_id}/versions/{version_id}/archive</w:t>
            </w:r>
          </w:p>
        </w:tc>
        <w:tc>
          <w:tcPr>
            <w:tcW w:type="dxa" w:w="303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Р — Архивировать свою опубликованную версию</w:t>
            </w:r>
          </w:p>
        </w:tc>
        <w:tc>
          <w:tcPr>
            <w:tcW w:type="dxa" w:w="278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—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 → 200 / VersionAuthor</w:t>
            </w:r>
          </w:p>
        </w:tc>
      </w:tr>
      <w:tr>
        <w:trPr>
          <w:cantSplit/>
        </w:trPr>
        <w:tc>
          <w:tcPr>
            <w:tcW w:type="dxa" w:w="50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GET</w:t>
            </w:r>
          </w:p>
        </w:tc>
        <w:tc>
          <w:tcPr>
            <w:tcW w:type="dxa" w:w="303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/api/v1/company/banks/{bank_id}/versions/{version_id}/preview</w:t>
            </w:r>
          </w:p>
        </w:tc>
        <w:tc>
          <w:tcPr>
            <w:tcW w:type="dxa" w:w="303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Р — Кандидатский preview своей версии</w:t>
            </w:r>
          </w:p>
        </w:tc>
        <w:tc>
          <w:tcPr>
            <w:tcW w:type="dxa" w:w="278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—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 → 200 / VersionPublic</w:t>
            </w:r>
          </w:p>
        </w:tc>
      </w:tr>
    </w:tbl>
    <w:p>
      <w:pPr>
        <w:spacing w:after="0"/>
        <w:ind w:firstLine="0"/>
      </w:pPr>
    </w:p>
    <w:p>
      <w:pPr>
        <w:pStyle w:val="Heading3"/>
      </w:pPr>
      <w:r>
        <w:rPr>
          <w:rFonts w:ascii="Times New Roman" w:hAnsi="Times New Roman" w:eastAsia="Times New Roman" w:cs="Times New Roman"/>
          <w:color w:val="000000"/>
          <w:u w:val="none"/>
        </w:rPr>
        <w:t>13.22. Импорт заданий</w:t>
      </w:r>
    </w:p>
    <w:p>
      <w:pPr>
        <w:pStyle w:val="GOSTTableReference"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>Сведения приведены в таблице 25.</w:t>
      </w:r>
    </w:p>
    <w:p>
      <w:pPr>
        <w:pStyle w:val="GOSTTableCaption"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>Таблица 25 — Импорт заданий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cantSplit/>
          <w:tblHeader w:val="true"/>
        </w:trPr>
        <w:tc>
          <w:tcPr>
            <w:tcW w:type="dxa" w:w="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Метод</w:t>
            </w:r>
          </w:p>
        </w:tc>
        <w:tc>
          <w:tcPr>
            <w:tcW w:type="dxa" w:w="318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Путь</w:t>
            </w:r>
          </w:p>
        </w:tc>
        <w:tc>
          <w:tcPr>
            <w:tcW w:type="dxa" w:w="245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Роль / назначение</w:t>
            </w:r>
          </w:p>
        </w:tc>
        <w:tc>
          <w:tcPr>
            <w:tcW w:type="dxa" w:w="318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Вход → статус / ответ</w:t>
            </w:r>
          </w:p>
        </w:tc>
      </w:tr>
      <w:tr>
        <w:trPr>
          <w:cantSplit/>
        </w:trPr>
        <w:tc>
          <w:tcPr>
            <w:tcW w:type="dxa" w:w="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GET</w:t>
            </w:r>
          </w:p>
        </w:tc>
        <w:tc>
          <w:tcPr>
            <w:tcW w:type="dxa" w:w="318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/api/v1/company/banks/{bank_id}/export</w:t>
            </w:r>
          </w:p>
        </w:tc>
        <w:tc>
          <w:tcPr>
            <w:tcW w:type="dxa" w:w="245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Р — Авторский export последней версии</w:t>
            </w:r>
          </w:p>
        </w:tc>
        <w:tc>
          <w:tcPr>
            <w:tcW w:type="dxa" w:w="318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—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 → 200 / BankDocument, text/csv, application/zip</w:t>
            </w:r>
          </w:p>
        </w:tc>
      </w:tr>
      <w:tr>
        <w:trPr>
          <w:cantSplit/>
        </w:trPr>
        <w:tc>
          <w:tcPr>
            <w:tcW w:type="dxa" w:w="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POST</w:t>
            </w:r>
          </w:p>
        </w:tc>
        <w:tc>
          <w:tcPr>
            <w:tcW w:type="dxa" w:w="318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/api/v1/company/bank-imports/dry-run</w:t>
            </w:r>
          </w:p>
        </w:tc>
        <w:tc>
          <w:tcPr>
            <w:tcW w:type="dxa" w:w="245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Р — Raw dry-run и история проверки</w:t>
            </w:r>
          </w:p>
        </w:tc>
        <w:tc>
          <w:tcPr>
            <w:tcW w:type="dxa" w:w="318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raw application/octet-stream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 → 200 / ImportView</w:t>
            </w:r>
          </w:p>
        </w:tc>
      </w:tr>
      <w:tr>
        <w:trPr>
          <w:cantSplit/>
        </w:trPr>
        <w:tc>
          <w:tcPr>
            <w:tcW w:type="dxa" w:w="531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POST</w:t>
            </w:r>
          </w:p>
        </w:tc>
        <w:tc>
          <w:tcPr>
            <w:tcW w:type="dxa" w:w="318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/api/v1/company/bank-imports/{import_id}/confirm</w:t>
            </w:r>
          </w:p>
        </w:tc>
        <w:tc>
          <w:tcPr>
            <w:tcW w:type="dxa" w:w="245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Р — Атомарно подтвердить свой импорт</w:t>
            </w:r>
          </w:p>
        </w:tc>
        <w:tc>
          <w:tcPr>
            <w:tcW w:type="dxa" w:w="318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—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 → 200 / BankView</w:t>
            </w:r>
          </w:p>
        </w:tc>
      </w:tr>
    </w:tbl>
    <w:p>
      <w:pPr>
        <w:spacing w:after="0"/>
        <w:ind w:firstLine="0"/>
      </w:pPr>
    </w:p>
    <w:p>
      <w:pPr>
        <w:pStyle w:val="Heading3"/>
      </w:pPr>
      <w:r>
        <w:rPr>
          <w:rFonts w:ascii="Times New Roman" w:hAnsi="Times New Roman" w:eastAsia="Times New Roman" w:cs="Times New Roman"/>
          <w:color w:val="000000"/>
          <w:u w:val="none"/>
        </w:rPr>
        <w:t>13.23. Выполнение заданий</w:t>
      </w:r>
    </w:p>
    <w:p>
      <w:pPr>
        <w:pStyle w:val="GOSTTableReference"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>Сведения приведены в таблице 26.</w:t>
      </w:r>
    </w:p>
    <w:p>
      <w:pPr>
        <w:pStyle w:val="GOSTTableCaption"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>Таблица 26 — Выполнение заданий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cantSplit/>
          <w:tblHeader w:val="true"/>
        </w:trPr>
        <w:tc>
          <w:tcPr>
            <w:tcW w:type="dxa" w:w="56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Метод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Путь</w:t>
            </w:r>
          </w:p>
        </w:tc>
        <w:tc>
          <w:tcPr>
            <w:tcW w:type="dxa" w:w="297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Роль / назначение</w:t>
            </w:r>
          </w:p>
        </w:tc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Вход → статус / ответ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GET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/api/v1/candidate/banks</w:t>
            </w:r>
          </w:p>
        </w:tc>
        <w:tc>
          <w:tcPr>
            <w:tcW w:type="dxa" w:w="297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К — Последние опубликованные версии банков</w:t>
            </w:r>
          </w:p>
        </w:tc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—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 → 200 / VersionPublic[]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GET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/api/v1/candidate/bank-attempts</w:t>
            </w:r>
          </w:p>
        </w:tc>
        <w:tc>
          <w:tcPr>
            <w:tcW w:type="dxa" w:w="297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К — История собственных практик</w:t>
            </w:r>
          </w:p>
        </w:tc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—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 → 200 / AttemptPublic[]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POST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/api/v1/candidate/banks/{bank_id}/attempts</w:t>
            </w:r>
          </w:p>
        </w:tc>
        <w:tc>
          <w:tcPr>
            <w:tcW w:type="dxa" w:w="297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К — Начать/вернуть свою практику версии</w:t>
            </w:r>
          </w:p>
        </w:tc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AttemptStart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 → 201 / AttemptPublic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GET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/api/v1/candidate/bank-attempts/{attempt_id}</w:t>
            </w:r>
          </w:p>
        </w:tc>
        <w:tc>
          <w:tcPr>
            <w:tcW w:type="dxa" w:w="297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К — Своя практика/answers/result</w:t>
            </w:r>
          </w:p>
        </w:tc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—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 → 200 / AttemptPublic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PATCH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/api/v1/candidate/bank-attempts/{attempt_id}</w:t>
            </w:r>
          </w:p>
        </w:tc>
        <w:tc>
          <w:tcPr>
            <w:tcW w:type="dxa" w:w="297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К — Полное autosave с revision CAS</w:t>
            </w:r>
          </w:p>
        </w:tc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AnswersSave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 → 200 / AttemptPublic</w:t>
            </w:r>
          </w:p>
        </w:tc>
      </w:tr>
      <w:tr>
        <w:trPr>
          <w:cantSplit/>
        </w:trPr>
        <w:tc>
          <w:tcPr>
            <w:tcW w:type="dxa" w:w="56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POST</w:t>
            </w:r>
          </w:p>
        </w:tc>
        <w:tc>
          <w:tcPr>
            <w:tcW w:type="dxa" w:w="340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/api/v1/candidate/bank-attempts/{attempt_id}/submit</w:t>
            </w:r>
          </w:p>
        </w:tc>
        <w:tc>
          <w:tcPr>
            <w:tcW w:type="dxa" w:w="2976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К — Отправить сохранённые answers</w:t>
            </w:r>
          </w:p>
        </w:tc>
        <w:tc>
          <w:tcPr>
            <w:tcW w:type="dxa" w:w="240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Revision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 → 200 / AttemptPublic</w:t>
            </w:r>
          </w:p>
        </w:tc>
      </w:tr>
    </w:tbl>
    <w:p>
      <w:pPr>
        <w:spacing w:after="0"/>
        <w:ind w:firstLine="0"/>
      </w:pPr>
    </w:p>
    <w:p>
      <w:pPr>
        <w:pStyle w:val="Heading3"/>
      </w:pPr>
      <w:r>
        <w:rPr>
          <w:rFonts w:ascii="Times New Roman" w:hAnsi="Times New Roman" w:eastAsia="Times New Roman" w:cs="Times New Roman"/>
          <w:color w:val="000000"/>
          <w:u w:val="none"/>
        </w:rPr>
        <w:t>13.24. Выполнение кода</w:t>
      </w:r>
    </w:p>
    <w:p>
      <w:pPr>
        <w:pStyle w:val="GOSTTableReference"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>Сведения приведены в таблице 27.</w:t>
      </w:r>
    </w:p>
    <w:p>
      <w:pPr>
        <w:pStyle w:val="GOSTTableCaption"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>Таблица 27 — Выполнение кода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cantSplit/>
          <w:tblHeader w:val="true"/>
        </w:trPr>
        <w:tc>
          <w:tcPr>
            <w:tcW w:type="dxa" w:w="59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Метод</w:t>
            </w:r>
          </w:p>
        </w:tc>
        <w:tc>
          <w:tcPr>
            <w:tcW w:type="dxa" w:w="356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Путь</w:t>
            </w:r>
          </w:p>
        </w:tc>
        <w:tc>
          <w:tcPr>
            <w:tcW w:type="dxa" w:w="297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Роль / назначение</w:t>
            </w:r>
          </w:p>
        </w:tc>
        <w:tc>
          <w:tcPr>
            <w:tcW w:type="dxa" w:w="222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Вход → статус / ответ</w:t>
            </w:r>
          </w:p>
        </w:tc>
      </w:tr>
      <w:tr>
        <w:trPr>
          <w:cantSplit/>
        </w:trPr>
        <w:tc>
          <w:tcPr>
            <w:tcW w:type="dxa" w:w="59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POST</w:t>
            </w:r>
          </w:p>
        </w:tc>
        <w:tc>
          <w:tcPr>
            <w:tcW w:type="dxa" w:w="356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/api/v1/candidate/bank-attempts/{attempt_id}/code-jobs</w:t>
            </w:r>
          </w:p>
        </w:tc>
        <w:tc>
          <w:tcPr>
            <w:tcW w:type="dxa" w:w="297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К — Создать/вернуть VM job своего source</w:t>
            </w:r>
          </w:p>
        </w:tc>
        <w:tc>
          <w:tcPr>
            <w:tcW w:type="dxa" w:w="222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CodeSubmit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 → 201 / CodeJobView</w:t>
            </w:r>
          </w:p>
        </w:tc>
      </w:tr>
      <w:tr>
        <w:trPr>
          <w:cantSplit/>
        </w:trPr>
        <w:tc>
          <w:tcPr>
            <w:tcW w:type="dxa" w:w="59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GET</w:t>
            </w:r>
          </w:p>
        </w:tc>
        <w:tc>
          <w:tcPr>
            <w:tcW w:type="dxa" w:w="356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/api/v1/candidate/bank-attempts/{attempt_id}/code-jobs/{job_id}</w:t>
            </w:r>
          </w:p>
        </w:tc>
        <w:tc>
          <w:tcPr>
            <w:tcW w:type="dxa" w:w="2970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К — Статус своего VM job</w:t>
            </w:r>
          </w:p>
        </w:tc>
        <w:tc>
          <w:tcPr>
            <w:tcW w:type="dxa" w:w="222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—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 → 200 / CodeJobView</w:t>
            </w:r>
          </w:p>
        </w:tc>
      </w:tr>
    </w:tbl>
    <w:p>
      <w:pPr>
        <w:spacing w:after="0"/>
        <w:ind w:firstLine="0"/>
      </w:pPr>
    </w:p>
    <w:p>
      <w:pPr>
        <w:pStyle w:val="Heading3"/>
      </w:pPr>
      <w:r>
        <w:rPr>
          <w:rFonts w:ascii="Times New Roman" w:hAnsi="Times New Roman" w:eastAsia="Times New Roman" w:cs="Times New Roman"/>
          <w:color w:val="000000"/>
          <w:u w:val="none"/>
        </w:rPr>
        <w:t>13.25. Ручная проверка</w:t>
      </w:r>
    </w:p>
    <w:p>
      <w:pPr>
        <w:pStyle w:val="GOSTTableReference"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>Сведения приведены в таблице 28.</w:t>
      </w:r>
    </w:p>
    <w:p>
      <w:pPr>
        <w:pStyle w:val="GOSTTableCaption"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>Таблица 28 — Ручная проверка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cantSplit/>
          <w:tblHeader w:val="true"/>
        </w:trPr>
        <w:tc>
          <w:tcPr>
            <w:tcW w:type="dxa" w:w="49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Метод</w:t>
            </w:r>
          </w:p>
        </w:tc>
        <w:tc>
          <w:tcPr>
            <w:tcW w:type="dxa" w:w="295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Путь</w:t>
            </w:r>
          </w:p>
        </w:tc>
        <w:tc>
          <w:tcPr>
            <w:tcW w:type="dxa" w:w="295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Роль / назначение</w:t>
            </w:r>
          </w:p>
        </w:tc>
        <w:tc>
          <w:tcPr>
            <w:tcW w:type="dxa" w:w="295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Вход → статус / ответ</w:t>
            </w:r>
          </w:p>
        </w:tc>
      </w:tr>
      <w:tr>
        <w:trPr>
          <w:cantSplit/>
        </w:trPr>
        <w:tc>
          <w:tcPr>
            <w:tcW w:type="dxa" w:w="49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GET</w:t>
            </w:r>
          </w:p>
        </w:tc>
        <w:tc>
          <w:tcPr>
            <w:tcW w:type="dxa" w:w="295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/api/v1/company/banks/{bank_id}/attempts</w:t>
            </w:r>
          </w:p>
        </w:tc>
        <w:tc>
          <w:tcPr>
            <w:tcW w:type="dxa" w:w="295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Р — Отправленные попытки своего банка</w:t>
            </w:r>
          </w:p>
        </w:tc>
        <w:tc>
          <w:tcPr>
            <w:tcW w:type="dxa" w:w="295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—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 → 200 / AttemptAuthor[]</w:t>
            </w:r>
          </w:p>
        </w:tc>
      </w:tr>
      <w:tr>
        <w:trPr>
          <w:cantSplit/>
        </w:trPr>
        <w:tc>
          <w:tcPr>
            <w:tcW w:type="dxa" w:w="49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POST</w:t>
            </w:r>
          </w:p>
        </w:tc>
        <w:tc>
          <w:tcPr>
            <w:tcW w:type="dxa" w:w="295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/api/v1/company/bank-attempts/{attempt_id}/review-suggestion</w:t>
            </w:r>
          </w:p>
        </w:tc>
        <w:tc>
          <w:tcPr>
            <w:tcW w:type="dxa" w:w="295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Р — ИИ-подсказка оценки открытого ответа (ничего не сохраняет; нужна ручная фиксация)</w:t>
            </w:r>
          </w:p>
        </w:tc>
        <w:tc>
          <w:tcPr>
            <w:tcW w:type="dxa" w:w="295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ReviewSuggestionInput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 → 200 / ReviewSuggestion; 422 не открытый ответ; 503 ИИ выключен или модель недоступна; 502 ответ не прошёл проверку; 429 лимит</w:t>
            </w:r>
          </w:p>
        </w:tc>
      </w:tr>
      <w:tr>
        <w:trPr>
          <w:cantSplit/>
        </w:trPr>
        <w:tc>
          <w:tcPr>
            <w:tcW w:type="dxa" w:w="492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POST</w:t>
            </w:r>
          </w:p>
        </w:tc>
        <w:tc>
          <w:tcPr>
            <w:tcW w:type="dxa" w:w="295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/api/v1/company/bank-attempts/{attempt_id}/review</w:t>
            </w:r>
          </w:p>
        </w:tc>
        <w:tc>
          <w:tcPr>
            <w:tcW w:type="dxa" w:w="295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Р — Зафиксировать review своего открытого задания</w:t>
            </w:r>
          </w:p>
        </w:tc>
        <w:tc>
          <w:tcPr>
            <w:tcW w:type="dxa" w:w="295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ReviewInput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 → 200 / AttemptAuthor</w:t>
            </w:r>
          </w:p>
        </w:tc>
      </w:tr>
    </w:tbl>
    <w:p>
      <w:pPr>
        <w:spacing w:after="0"/>
        <w:ind w:firstLine="0"/>
      </w:pPr>
    </w:p>
    <w:p>
      <w:pPr>
        <w:pStyle w:val="Heading3"/>
      </w:pPr>
      <w:r>
        <w:rPr>
          <w:rFonts w:ascii="Times New Roman" w:hAnsi="Times New Roman" w:eastAsia="Times New Roman" w:cs="Times New Roman"/>
          <w:color w:val="000000"/>
          <w:u w:val="none"/>
        </w:rPr>
        <w:t>13.26. Внутренний runner</w:t>
      </w:r>
    </w:p>
    <w:p>
      <w:pPr>
        <w:pStyle w:val="GOSTTableReference"/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>Сведения приведены в таблице 29.</w:t>
      </w:r>
    </w:p>
    <w:p>
      <w:pPr>
        <w:pStyle w:val="GOSTTableCaption"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>Таблица 29 — Внутренний runner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cantSplit/>
          <w:tblHeader w:val="true"/>
        </w:trPr>
        <w:tc>
          <w:tcPr>
            <w:tcW w:type="dxa" w:w="64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Метод</w:t>
            </w:r>
          </w:p>
        </w:tc>
        <w:tc>
          <w:tcPr>
            <w:tcW w:type="dxa" w:w="298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Путь</w:t>
            </w:r>
          </w:p>
        </w:tc>
        <w:tc>
          <w:tcPr>
            <w:tcW w:type="dxa" w:w="362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Роль / назначение</w:t>
            </w:r>
          </w:p>
        </w:tc>
        <w:tc>
          <w:tcPr>
            <w:tcW w:type="dxa" w:w="209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  <w:u w:val="none"/>
              </w:rPr>
              <w:t>Вход → статус / ответ</w:t>
            </w:r>
          </w:p>
        </w:tc>
      </w:tr>
      <w:tr>
        <w:trPr>
          <w:cantSplit/>
        </w:trPr>
        <w:tc>
          <w:tcPr>
            <w:tcW w:type="dxa" w:w="64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POST</w:t>
            </w:r>
          </w:p>
        </w:tc>
        <w:tc>
          <w:tcPr>
            <w:tcW w:type="dxa" w:w="298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/internal/runner/claim</w:t>
            </w:r>
          </w:p>
        </w:tc>
        <w:tc>
          <w:tcPr>
            <w:tcW w:type="dxa" w:w="362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W — Получить job/lease или null</w:t>
            </w:r>
          </w:p>
        </w:tc>
        <w:tc>
          <w:tcPr>
            <w:tcW w:type="dxa" w:w="209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—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 → 200 / RunnerClaim</w:t>
            </w:r>
          </w:p>
        </w:tc>
      </w:tr>
      <w:tr>
        <w:trPr>
          <w:cantSplit/>
        </w:trPr>
        <w:tc>
          <w:tcPr>
            <w:tcW w:type="dxa" w:w="645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POST</w:t>
            </w:r>
          </w:p>
        </w:tc>
        <w:tc>
          <w:tcPr>
            <w:tcW w:type="dxa" w:w="2984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/internal/runner/jobs/{job_id}/result</w:t>
            </w:r>
          </w:p>
        </w:tc>
        <w:tc>
          <w:tcPr>
            <w:tcW w:type="dxa" w:w="3629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W — Зафиксировать leased результат исполнения</w:t>
            </w:r>
          </w:p>
        </w:tc>
        <w:tc>
          <w:tcPr>
            <w:tcW w:type="dxa" w:w="2097"/>
            <w:vAlign w:val="center"/>
          </w:tcPr>
          <w:p>
            <w:pPr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>RunnerResult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u w:val="none"/>
              </w:rPr>
              <w:t xml:space="preserve"> → 200 / Saved</w:t>
            </w:r>
          </w:p>
        </w:tc>
      </w:tr>
    </w:tbl>
    <w:p>
      <w:pPr>
        <w:spacing w:after="0"/>
        <w:ind w:firstLine="0"/>
      </w:pPr>
    </w:p>
    <w:p>
      <w:pPr>
        <w:pStyle w:val="Heading2"/>
      </w:pPr>
      <w:r>
        <w:rPr>
          <w:rFonts w:ascii="Times New Roman" w:hAnsi="Times New Roman" w:eastAsia="Times New Roman" w:cs="Times New Roman"/>
          <w:color w:val="000000"/>
          <w:u w:val="none"/>
        </w:rPr>
        <w:t>14. Историческая проверка руководства (72 пути / 82 операции)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 xml:space="preserve">Повторно прочитан девятистраничный оригинал ТЗ; сверены app/schemas/contract, product, banks, security и тестовые сценарии API. Файл auth.py отсутствует: сессии/CSRF находятся в app.py, пароли — security.py. Справочник получен из OpenAPI с ручной проверкой ролей/назначений: все 82 method/path представлены ровно один раз, лишних операций нет. Offline-проверка файла HTTP подтвердила 62 запроса к действительным операциям; все 30 JSON-тел сверены с входными схемами после безопасной подстановки синтетических значений. Защищённые внешние ФСП вызовы не выполнялись. Полная действующая regression-приёмка — </w:t>
      </w:r>
      <w:hyperlink r:id="rId17">
        <w:r>
          <w:rPr>
            <w:rFonts w:ascii="Times New Roman" w:hAnsi="Times New Roman" w:eastAsia="Times New Roman" w:cs="Times New Roman"/>
            <w:color w:val="000000"/>
            <w:u w:val="none"/>
          </w:rPr>
          <w:t xml:space="preserve">актуальное руководство</w:t>
        </w:r>
      </w:hyperlink>
      <w:r>
        <w:rPr>
          <w:rFonts w:ascii="Times New Roman" w:hAnsi="Times New Roman" w:eastAsia="Times New Roman" w:cs="Times New Roman"/>
          <w:color w:val="000000"/>
          <w:u w:val="none"/>
        </w:rPr>
        <w:t>; этот справочник не обещает новый прогон всего приложения или production-готовность.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 xml:space="preserve">Дополнение 10 октября (сообщения) довело контракт до 86 путей / 99 операций; дополнение 9 октября содержало 80 путей / 91 операцию, включая добросовестность, локальный OIDC mock, предложение ИИ-черновика и рекомендацию короткого задания на неделю. Текущая проверка — </w:t>
      </w:r>
      <w:r>
        <w:rPr>
          <w:rFonts w:ascii="Times New Roman" w:hAnsi="Times New Roman" w:eastAsia="Times New Roman" w:cs="Times New Roman"/>
          <w:color w:val="000000"/>
          <w:u w:val="none"/>
        </w:rPr>
        <w:t>polish-api-results.json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(архив этапа в закрытой истории), PDF — </w:t>
      </w:r>
      <w:r>
        <w:rPr>
          <w:rFonts w:ascii="Times New Roman" w:hAnsi="Times New Roman" w:eastAsia="Times New Roman" w:cs="Times New Roman"/>
          <w:color w:val="000000"/>
          <w:u w:val="none"/>
        </w:rPr>
        <w:t>polish-api-pdf-results.json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(архив этапа в закрытой истории); протокол доводки — </w:t>
      </w:r>
      <w:r>
        <w:rPr>
          <w:rFonts w:ascii="Times New Roman" w:hAnsi="Times New Roman" w:eastAsia="Times New Roman" w:cs="Times New Roman"/>
          <w:color w:val="000000"/>
          <w:u w:val="none"/>
        </w:rPr>
        <w:t>polish-results.json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(архив этапа в закрытой истории) и </w:t>
      </w:r>
      <w:hyperlink r:id="rId18">
        <w:r>
          <w:rPr>
            <w:rFonts w:ascii="Times New Roman" w:hAnsi="Times New Roman" w:eastAsia="Times New Roman" w:cs="Times New Roman"/>
            <w:color w:val="000000"/>
            <w:u w:val="none"/>
          </w:rPr>
          <w:t xml:space="preserve">актуальное руководство</w:t>
        </w:r>
      </w:hyperlink>
      <w:r>
        <w:rPr>
          <w:rFonts w:ascii="Times New Roman" w:hAnsi="Times New Roman" w:eastAsia="Times New Roman" w:cs="Times New Roman"/>
          <w:color w:val="000000"/>
          <w:u w:val="none"/>
        </w:rPr>
        <w:t xml:space="preserve">. Прежние </w:t>
      </w:r>
      <w:r>
        <w:rPr>
          <w:rFonts w:ascii="Times New Roman" w:hAnsi="Times New Roman" w:eastAsia="Times New Roman" w:cs="Times New Roman"/>
          <w:color w:val="000000"/>
          <w:u w:val="none"/>
        </w:rPr>
        <w:t>docs/final-api-results.json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u w:val="none"/>
        </w:rPr>
        <w:t>final-api-pdf-results.json</w:t>
      </w:r>
      <w:r>
        <w:rPr>
          <w:rFonts w:ascii="Times New Roman" w:hAnsi="Times New Roman" w:eastAsia="Times New Roman" w:cs="Times New Roman"/>
          <w:color w:val="000000"/>
          <w:u w:val="none"/>
        </w:rPr>
        <w:t xml:space="preserve"> (архив этапа в закрытой истории) и </w:t>
      </w:r>
      <w:hyperlink r:id="rId17">
        <w:r>
          <w:rPr>
            <w:rFonts w:ascii="Times New Roman" w:hAnsi="Times New Roman" w:eastAsia="Times New Roman" w:cs="Times New Roman"/>
            <w:color w:val="000000"/>
            <w:u w:val="none"/>
          </w:rPr>
          <w:t xml:space="preserve">актуальное руководство</w:t>
        </w:r>
      </w:hyperlink>
      <w:r>
        <w:rPr>
          <w:rFonts w:ascii="Times New Roman" w:hAnsi="Times New Roman" w:eastAsia="Times New Roman" w:cs="Times New Roman"/>
          <w:color w:val="000000"/>
          <w:u w:val="none"/>
        </w:rPr>
        <w:t xml:space="preserve"> относятся к этапу 79 путей / 90 операций.</w:t>
      </w:r>
    </w:p>
    <w:p>
      <w:pPr>
        <w:pStyle w:val="Heading2"/>
      </w:pPr>
      <w:r>
        <w:rPr>
          <w:rFonts w:ascii="Times New Roman" w:hAnsi="Times New Roman" w:eastAsia="Times New Roman" w:cs="Times New Roman"/>
          <w:color w:val="000000"/>
          <w:u w:val="none"/>
        </w:rPr>
        <w:t>15. Иллюстрация пользовательского контроля доступа</w:t>
      </w:r>
    </w:p>
    <w:p>
      <w:r>
        <w:rPr>
          <w:rFonts w:ascii="Times New Roman" w:hAnsi="Times New Roman" w:eastAsia="Times New Roman" w:cs="Times New Roman"/>
          <w:color w:val="000000"/>
          <w:u w:val="none"/>
        </w:rPr>
        <w:t>На рисунке 1 показаны настройки кандидата на работающем синтетическом стенде. Они поясняют назначение операций приватности; проверку полномочий выполняет сервер. Скрытие элементов интерфейса само по себе не заменяет авторизацию API.</w:t>
      </w:r>
    </w:p>
    <w:p>
      <w:pPr>
        <w:keepNext/>
        <w:ind w:firstLine="0"/>
        <w:jc w:val="center"/>
      </w:pPr>
      <w:r>
        <w:rPr>
          <w:rFonts w:ascii="Times New Roman" w:hAnsi="Times New Roman" w:eastAsia="Times New Roman" w:cs="Times New Roman"/>
          <w:color w:val="000000"/>
          <w:u w:val="none"/>
        </w:rPr>
        <w:drawing>
          <wp:inline xmlns:a="http://schemas.openxmlformats.org/drawingml/2006/main" xmlns:pic="http://schemas.openxmlformats.org/drawingml/2006/picture">
            <wp:extent cx="5940000" cy="4124999"/>
            <wp:docPr id="1" name="privacy" descr="Настройки доступности профиля и контактов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vac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24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OSTCaption"/>
        <w:keepNext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>Рисунок 1 — Настройки доступности профиля и контактов</w:t>
      </w:r>
    </w:p>
    <w:p>
      <w:pPr>
        <w:pStyle w:val="GOSTFigureSource"/>
      </w:pPr>
      <w:r>
        <w:rPr>
          <w:rFonts w:ascii="Times New Roman" w:hAnsi="Times New Roman" w:eastAsia="Times New Roman" w:cs="Times New Roman"/>
          <w:color w:val="000000"/>
          <w:sz w:val="24"/>
          <w:u w:val="none"/>
        </w:rPr>
        <w:t>Источник: Работающий синтетический стенд NAS, Chromium; 11 октября 2026 года.</w:t>
      </w:r>
    </w:p>
    <w:sectPr w:rsidR="00FC693F" w:rsidRPr="0006063C" w:rsidSect="00034616">
      <w:footerReference w:type="default" r:id="rId10"/>
      <w:pgSz w:w="11906" w:h="16838"/>
      <w:pgMar w:top="1134" w:right="850" w:bottom="1134" w:left="1701" w:header="720" w:footer="567" w:gutter="0"/>
      <w:cols w:space="720"/>
      <w:docGrid w:linePitch="360"/>
      <w:pgNumType w:start="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eastAsia="Times New Roman" w:cs="Times New Roman"/>
        <w:color w:val="000000"/>
        <w:sz w:val="24"/>
        <w:u w:val="none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 w:cs="Times New Roman"/>
      <w:b w:val="0"/>
      <w:i w:val="0"/>
      <w:color w:val="000000"/>
      <w:sz w:val="28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eastAsia="Times New Roman" w:cs="Times New Roman"/>
      <w:color w:val="000000"/>
      <w:u w:val="none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eastAsia="Times New Roman" w:cs="Times New Roman"/>
      <w:color w:val="000000"/>
      <w:u w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 w:left="0"/>
      <w:jc w:val="center"/>
      <w:outlineLvl w:val="0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0" w:left="0"/>
      <w:jc w:val="left"/>
      <w:outlineLvl w:val="1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ind w:firstLine="0" w:left="0"/>
      <w:jc w:val="left"/>
      <w:outlineLvl w:val="2"/>
    </w:pPr>
    <w:rPr>
      <w:rFonts w:ascii="Times New Roman" w:hAnsi="Times New Roman" w:eastAsia="Times New Roman" w:cs="Times New Roman"/>
      <w:b/>
      <w:bCs/>
      <w:i w:val="0"/>
      <w:color w:val="000000"/>
      <w:sz w:val="28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120" w:line="360" w:lineRule="auto"/>
      <w:ind w:firstLine="0" w:left="0"/>
      <w:jc w:val="left"/>
      <w:outlineLvl w:val="3"/>
    </w:pPr>
    <w:rPr>
      <w:rFonts w:ascii="Times New Roman" w:hAnsi="Times New Roman" w:eastAsia="Times New Roman" w:cs="Times New Roman"/>
      <w:b/>
      <w:bCs/>
      <w:i w:val="0"/>
      <w:iCs/>
      <w:color w:val="000000"/>
      <w:sz w:val="28"/>
      <w:u w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000000"/>
      <w:u w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000000"/>
      <w:u w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000000"/>
      <w:u w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000000"/>
      <w:sz w:val="20"/>
      <w:szCs w:val="20"/>
      <w:u w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000000"/>
      <w:sz w:val="20"/>
      <w:szCs w:val="20"/>
      <w:u w:val="none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eastAsia="Times New Roman" w:cs="Times New Roman"/>
      <w:b w:val="0"/>
      <w:i w:val="0"/>
      <w:color w:val="000000"/>
      <w:sz w:val="28"/>
      <w:u w:val="none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 w:eastAsia="Times New Roman" w:cs="Times New Roman"/>
      <w:color w:val="000000"/>
      <w:u w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000000"/>
      <w:sz w:val="28"/>
      <w:szCs w:val="28"/>
      <w:u w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000000"/>
      <w:sz w:val="26"/>
      <w:szCs w:val="26"/>
      <w:u w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000000"/>
      <w:u w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360" w:lineRule="auto" w:before="0"/>
      <w:ind w:firstLine="0"/>
      <w:contextualSpacing/>
      <w:jc w:val="center"/>
    </w:pPr>
    <w:rPr>
      <w:rFonts w:ascii="Times New Roman" w:hAnsi="Times New Roman" w:eastAsia="Times New Roman" w:cs="Times New Roman"/>
      <w:b/>
      <w:i w:val="0"/>
      <w:color w:val="000000"/>
      <w:spacing w:val="5"/>
      <w:kern w:val="28"/>
      <w:sz w:val="2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000000"/>
      <w:spacing w:val="5"/>
      <w:kern w:val="28"/>
      <w:sz w:val="52"/>
      <w:szCs w:val="52"/>
      <w:u w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  <w:u w:val="none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  <w:color w:val="000000"/>
      <w:u w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eastAsia="Times New Roman" w:cs="Times New Roman"/>
      <w:color w:val="000000"/>
      <w:u w:val="none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Times New Roman" w:cs="Times New Roman"/>
      <w:color w:val="000000"/>
      <w:u w:val="none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eastAsia="Times New Roman" w:cs="Times New Roman"/>
      <w:color w:val="000000"/>
      <w:u w:val="none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  <w:color w:val="000000"/>
      <w:sz w:val="16"/>
      <w:szCs w:val="16"/>
      <w:u w:val="none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eastAsia="Times New Roman" w:cs="Times New Roman"/>
      <w:color w:val="000000"/>
      <w:sz w:val="16"/>
      <w:szCs w:val="16"/>
      <w:u w:val="none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color w:val="000000"/>
      <w:sz w:val="20"/>
      <w:szCs w:val="20"/>
      <w:u w:val="none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color w:val="000000"/>
      <w:sz w:val="20"/>
      <w:szCs w:val="20"/>
      <w:u w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Times New Roman" w:cs="Times New Roman"/>
      <w:i/>
      <w:iCs/>
      <w:color w:val="000000"/>
      <w:u w:val="none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eastAsia="Times New Roman" w:cs="Times New Roman"/>
      <w:i/>
      <w:iCs/>
      <w:color w:val="000000"/>
      <w:u w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000000"/>
      <w:u w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000000"/>
      <w:u w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  <w:u w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  <w:u w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000000"/>
      <w:sz w:val="20"/>
      <w:szCs w:val="20"/>
      <w:u w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  <w:sz w:val="20"/>
      <w:szCs w:val="20"/>
      <w:u w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Times New Roman" w:cs="Times New Roman"/>
      <w:b/>
      <w:bCs/>
      <w:color w:val="000000"/>
      <w:sz w:val="18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eastAsia="Times New Roman" w:cs="Times New Roman"/>
      <w:b/>
      <w:bCs/>
      <w:color w:val="000000"/>
      <w:u w:val="none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eastAsia="Times New Roman" w:cs="Times New Roman"/>
      <w:i/>
      <w:iCs/>
      <w:color w:val="000000"/>
      <w:u w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000000"/>
      </w:pBdr>
      <w:spacing w:before="200" w:after="280"/>
      <w:ind w:left="936" w:right="936"/>
    </w:pPr>
    <w:rPr>
      <w:rFonts w:ascii="Times New Roman" w:hAnsi="Times New Roman" w:eastAsia="Times New Roman" w:cs="Times New Roman"/>
      <w:b/>
      <w:bCs/>
      <w:i/>
      <w:iCs/>
      <w:color w:val="000000"/>
      <w:u w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eastAsia="Times New Roman" w:cs="Times New Roman"/>
      <w:b/>
      <w:bCs/>
      <w:i/>
      <w:iCs/>
      <w:color w:val="000000"/>
      <w:u w:val="none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eastAsia="Times New Roman" w:cs="Times New Roman"/>
      <w:i/>
      <w:iCs/>
      <w:color w:val="000000"/>
      <w:u w:val="none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eastAsia="Times New Roman" w:cs="Times New Roman"/>
      <w:b/>
      <w:bCs/>
      <w:i/>
      <w:iCs/>
      <w:color w:val="000000"/>
      <w:u w:val="none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eastAsia="Times New Roman" w:cs="Times New Roman"/>
      <w:smallCaps/>
      <w:color w:val="000000"/>
      <w:u w:val="non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eastAsia="Times New Roman" w:cs="Times New Roman"/>
      <w:b/>
      <w:bCs/>
      <w:smallCaps/>
      <w:color w:val="000000"/>
      <w:spacing w:val="5"/>
      <w:u w:val="non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eastAsia="Times New Roman" w:cs="Times New Roman"/>
      <w:b/>
      <w:bCs/>
      <w:smallCaps/>
      <w:color w:val="000000"/>
      <w:spacing w:val="5"/>
      <w:u w:val="non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Times New Roman" w:cs="Times New Roman"/>
      <w:color w:val="000000"/>
      <w:u w:val="none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0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0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0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0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0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0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0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000000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000000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000000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000000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000000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000000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000000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000000" w:fill="C0C0C0" w:themeFill="text1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000000" w:fill="C0C0C0" w:themeFill="text1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000000" w:fill="D3DFEE" w:themeFill="accent1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000000" w:fill="D3DFEE" w:themeFill="accent1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000000" w:fill="EFD3D2" w:themeFill="accent2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000000" w:fill="EFD3D2" w:themeFill="accent2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000000" w:fill="E6EED5" w:themeFill="accent3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000000" w:fill="E6EED5" w:themeFill="accent3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000000" w:fill="DFD8E8" w:themeFill="accent4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000000" w:fill="DFD8E8" w:themeFill="accent4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000000" w:fill="D2EAF1" w:themeFill="accent5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000000" w:fill="D2EAF1" w:themeFill="accent5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000000" w:fill="FDE4D0" w:themeFill="accent6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000000" w:fill="FDE4D0" w:themeFill="accent6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000000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000000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000000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000000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000000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000000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000000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000000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8D8D8" w:themeFill="background1" w:themeFillShade="D8"/>
      </w:tcPr>
    </w:tblStylePr>
    <w:tblStylePr w:type="band1Horz">
      <w:tblPr/>
      <w:tcPr>
        <w:shd w:val="clear" w:color="000000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000000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8D8D8" w:themeFill="background1" w:themeFillShade="D8"/>
      </w:tcPr>
    </w:tblStylePr>
    <w:tblStylePr w:type="band1Horz">
      <w:tblPr/>
      <w:tcPr>
        <w:shd w:val="clear" w:color="000000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000000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8D8D8" w:themeFill="background1" w:themeFillShade="D8"/>
      </w:tcPr>
    </w:tblStylePr>
    <w:tblStylePr w:type="band1Horz">
      <w:tblPr/>
      <w:tcPr>
        <w:shd w:val="clear" w:color="000000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000000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8D8D8" w:themeFill="background1" w:themeFillShade="D8"/>
      </w:tcPr>
    </w:tblStylePr>
    <w:tblStylePr w:type="band1Horz">
      <w:tblPr/>
      <w:tcPr>
        <w:shd w:val="clear" w:color="000000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000000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8D8D8" w:themeFill="background1" w:themeFillShade="D8"/>
      </w:tcPr>
    </w:tblStylePr>
    <w:tblStylePr w:type="band1Horz">
      <w:tblPr/>
      <w:tcPr>
        <w:shd w:val="clear" w:color="000000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000000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8D8D8" w:themeFill="background1" w:themeFillShade="D8"/>
      </w:tcPr>
    </w:tblStylePr>
    <w:tblStylePr w:type="band1Horz">
      <w:tblPr/>
      <w:tcPr>
        <w:shd w:val="clear" w:color="000000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000000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8D8D8" w:themeFill="background1" w:themeFillShade="D8"/>
      </w:tcPr>
    </w:tblStylePr>
    <w:tblStylePr w:type="band1Horz">
      <w:tblPr/>
      <w:tcPr>
        <w:shd w:val="clear" w:color="000000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000000" w:fill="C0C0C0" w:themeFill="text1" w:themeFillTint="3F"/>
      </w:tcPr>
    </w:tblStylePr>
    <w:tblStylePr w:type="band1Horz">
      <w:tblPr/>
      <w:tcPr>
        <w:shd w:val="clear" w:color="000000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000000" w:fill="D3DFEE" w:themeFill="accent1" w:themeFillTint="3F"/>
      </w:tcPr>
    </w:tblStylePr>
    <w:tblStylePr w:type="band1Horz">
      <w:tblPr/>
      <w:tcPr>
        <w:shd w:val="clear" w:color="000000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000000" w:fill="EFD3D2" w:themeFill="accent2" w:themeFillTint="3F"/>
      </w:tcPr>
    </w:tblStylePr>
    <w:tblStylePr w:type="band1Horz">
      <w:tblPr/>
      <w:tcPr>
        <w:shd w:val="clear" w:color="000000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000000" w:fill="E6EED5" w:themeFill="accent3" w:themeFillTint="3F"/>
      </w:tcPr>
    </w:tblStylePr>
    <w:tblStylePr w:type="band1Horz">
      <w:tblPr/>
      <w:tcPr>
        <w:shd w:val="clear" w:color="000000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000000" w:fill="DFD8E8" w:themeFill="accent4" w:themeFillTint="3F"/>
      </w:tcPr>
    </w:tblStylePr>
    <w:tblStylePr w:type="band1Horz">
      <w:tblPr/>
      <w:tcPr>
        <w:shd w:val="clear" w:color="000000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000000" w:fill="D2EAF1" w:themeFill="accent5" w:themeFillTint="3F"/>
      </w:tcPr>
    </w:tblStylePr>
    <w:tblStylePr w:type="band1Horz">
      <w:tblPr/>
      <w:tcPr>
        <w:shd w:val="clear" w:color="000000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000000" w:fill="FDE4D0" w:themeFill="accent6" w:themeFillTint="3F"/>
      </w:tcPr>
    </w:tblStylePr>
    <w:tblStylePr w:type="band1Horz">
      <w:tblPr/>
      <w:tcPr>
        <w:shd w:val="clear" w:color="000000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000000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0" w:fill="C0C0C0" w:themeFill="text1" w:themeFillTint="3F"/>
      </w:tcPr>
    </w:tblStylePr>
    <w:tblStylePr w:type="nwCell">
      <w:tblPr/>
      <w:tcPr>
        <w:shd w:val="clear" w:color="000000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000000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0" w:fill="D3DFEE" w:themeFill="accent1" w:themeFillTint="3F"/>
      </w:tcPr>
    </w:tblStylePr>
    <w:tblStylePr w:type="nwCell">
      <w:tblPr/>
      <w:tcPr>
        <w:shd w:val="clear" w:color="000000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000000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0" w:fill="EFD3D2" w:themeFill="accent2" w:themeFillTint="3F"/>
      </w:tcPr>
    </w:tblStylePr>
    <w:tblStylePr w:type="nwCell">
      <w:tblPr/>
      <w:tcPr>
        <w:shd w:val="clear" w:color="000000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000000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0" w:fill="E6EED5" w:themeFill="accent3" w:themeFillTint="3F"/>
      </w:tcPr>
    </w:tblStylePr>
    <w:tblStylePr w:type="nwCell">
      <w:tblPr/>
      <w:tcPr>
        <w:shd w:val="clear" w:color="000000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000000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0" w:fill="DFD8E8" w:themeFill="accent4" w:themeFillTint="3F"/>
      </w:tcPr>
    </w:tblStylePr>
    <w:tblStylePr w:type="nwCell">
      <w:tblPr/>
      <w:tcPr>
        <w:shd w:val="clear" w:color="000000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000000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0" w:fill="D2EAF1" w:themeFill="accent5" w:themeFillTint="3F"/>
      </w:tcPr>
    </w:tblStylePr>
    <w:tblStylePr w:type="nwCell">
      <w:tblPr/>
      <w:tcPr>
        <w:shd w:val="clear" w:color="000000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000000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0" w:fill="FDE4D0" w:themeFill="accent6" w:themeFillTint="3F"/>
      </w:tcPr>
    </w:tblStylePr>
    <w:tblStylePr w:type="nwCell">
      <w:tblPr/>
      <w:tcPr>
        <w:shd w:val="clear" w:color="000000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808080" w:themeFill="text1" w:themeFillTint="7F"/>
      </w:tcPr>
    </w:tblStylePr>
    <w:tblStylePr w:type="band1Horz">
      <w:tblPr/>
      <w:tcPr>
        <w:shd w:val="clear" w:color="000000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A7BFDE" w:themeFill="accent1" w:themeFillTint="7F"/>
      </w:tcPr>
    </w:tblStylePr>
    <w:tblStylePr w:type="band1Horz">
      <w:tblPr/>
      <w:tcPr>
        <w:shd w:val="clear" w:color="000000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DFA7A6" w:themeFill="accent2" w:themeFillTint="7F"/>
      </w:tcPr>
    </w:tblStylePr>
    <w:tblStylePr w:type="band1Horz">
      <w:tblPr/>
      <w:tcPr>
        <w:shd w:val="clear" w:color="000000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CDDDAC" w:themeFill="accent3" w:themeFillTint="7F"/>
      </w:tcPr>
    </w:tblStylePr>
    <w:tblStylePr w:type="band1Horz">
      <w:tblPr/>
      <w:tcPr>
        <w:shd w:val="clear" w:color="000000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BFB1D0" w:themeFill="accent4" w:themeFillTint="7F"/>
      </w:tcPr>
    </w:tblStylePr>
    <w:tblStylePr w:type="band1Horz">
      <w:tblPr/>
      <w:tcPr>
        <w:shd w:val="clear" w:color="000000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A5D5E2" w:themeFill="accent5" w:themeFillTint="7F"/>
      </w:tcPr>
    </w:tblStylePr>
    <w:tblStylePr w:type="band1Horz">
      <w:tblPr/>
      <w:tcPr>
        <w:shd w:val="clear" w:color="000000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FBCAA2" w:themeFill="accent6" w:themeFillTint="7F"/>
      </w:tcPr>
    </w:tblStylePr>
    <w:tblStylePr w:type="band1Horz">
      <w:tblPr/>
      <w:tcPr>
        <w:shd w:val="clear" w:color="000000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C0C0C0" w:themeFill="text1" w:themeFillTint="3F"/>
    </w:tcPr>
    <w:tblStylePr w:type="firstRow">
      <w:rPr>
        <w:b/>
        <w:bCs/>
        <w:color w:val="000000"/>
      </w:rPr>
      <w:tblPr/>
      <w:tcPr>
        <w:shd w:val="clear" w:color="000000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CCCCCC" w:themeFill="text1" w:themeFillTint="33"/>
      </w:tcPr>
    </w:tblStylePr>
    <w:tblStylePr w:type="band1Vert">
      <w:tblPr/>
      <w:tcPr>
        <w:shd w:val="clear" w:color="000000" w:fill="808080" w:themeFill="text1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000000" w:fill="808080" w:themeFill="text1" w:themeFillTint="7F"/>
      </w:tcPr>
    </w:tblStylePr>
    <w:tblStylePr w:type="nwCell">
      <w:tblPr/>
      <w:tcPr>
        <w:shd w:val="clear" w:color="000000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D3DFEE" w:themeFill="accent1" w:themeFillTint="3F"/>
    </w:tcPr>
    <w:tblStylePr w:type="firstRow">
      <w:rPr>
        <w:b/>
        <w:bCs/>
        <w:color w:val="000000"/>
      </w:rPr>
      <w:tblPr/>
      <w:tcPr>
        <w:shd w:val="clear" w:color="000000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DBE5F1" w:themeFill="accent1" w:themeFillTint="33"/>
      </w:tcPr>
    </w:tblStylePr>
    <w:tblStylePr w:type="band1Vert">
      <w:tblPr/>
      <w:tcPr>
        <w:shd w:val="clear" w:color="000000" w:fill="A7BFDE" w:themeFill="accent1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000000" w:fill="A7BFDE" w:themeFill="accent1" w:themeFillTint="7F"/>
      </w:tcPr>
    </w:tblStylePr>
    <w:tblStylePr w:type="nwCell">
      <w:tblPr/>
      <w:tcPr>
        <w:shd w:val="clear" w:color="000000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FD3D2" w:themeFill="accent2" w:themeFillTint="3F"/>
    </w:tcPr>
    <w:tblStylePr w:type="firstRow">
      <w:rPr>
        <w:b/>
        <w:bCs/>
        <w:color w:val="000000"/>
      </w:rPr>
      <w:tblPr/>
      <w:tcPr>
        <w:shd w:val="clear" w:color="000000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2DBDB" w:themeFill="accent2" w:themeFillTint="33"/>
      </w:tcPr>
    </w:tblStylePr>
    <w:tblStylePr w:type="band1Vert">
      <w:tblPr/>
      <w:tcPr>
        <w:shd w:val="clear" w:color="000000" w:fill="DFA7A6" w:themeFill="accent2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000000" w:fill="DFA7A6" w:themeFill="accent2" w:themeFillTint="7F"/>
      </w:tcPr>
    </w:tblStylePr>
    <w:tblStylePr w:type="nwCell">
      <w:tblPr/>
      <w:tcPr>
        <w:shd w:val="clear" w:color="000000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6EED5" w:themeFill="accent3" w:themeFillTint="3F"/>
    </w:tcPr>
    <w:tblStylePr w:type="firstRow">
      <w:rPr>
        <w:b/>
        <w:bCs/>
        <w:color w:val="000000"/>
      </w:rPr>
      <w:tblPr/>
      <w:tcPr>
        <w:shd w:val="clear" w:color="000000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EAF1DD" w:themeFill="accent3" w:themeFillTint="33"/>
      </w:tcPr>
    </w:tblStylePr>
    <w:tblStylePr w:type="band1Vert">
      <w:tblPr/>
      <w:tcPr>
        <w:shd w:val="clear" w:color="000000" w:fill="CDDDAC" w:themeFill="accent3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000000" w:fill="CDDDAC" w:themeFill="accent3" w:themeFillTint="7F"/>
      </w:tcPr>
    </w:tblStylePr>
    <w:tblStylePr w:type="nwCell">
      <w:tblPr/>
      <w:tcPr>
        <w:shd w:val="clear" w:color="000000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DFD8E8" w:themeFill="accent4" w:themeFillTint="3F"/>
    </w:tcPr>
    <w:tblStylePr w:type="firstRow">
      <w:rPr>
        <w:b/>
        <w:bCs/>
        <w:color w:val="000000"/>
      </w:rPr>
      <w:tblPr/>
      <w:tcPr>
        <w:shd w:val="clear" w:color="000000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E5DFEC" w:themeFill="accent4" w:themeFillTint="33"/>
      </w:tcPr>
    </w:tblStylePr>
    <w:tblStylePr w:type="band1Vert">
      <w:tblPr/>
      <w:tcPr>
        <w:shd w:val="clear" w:color="000000" w:fill="BFB1D0" w:themeFill="accent4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000000" w:fill="BFB1D0" w:themeFill="accent4" w:themeFillTint="7F"/>
      </w:tcPr>
    </w:tblStylePr>
    <w:tblStylePr w:type="nwCell">
      <w:tblPr/>
      <w:tcPr>
        <w:shd w:val="clear" w:color="000000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D2EAF1" w:themeFill="accent5" w:themeFillTint="3F"/>
    </w:tcPr>
    <w:tblStylePr w:type="firstRow">
      <w:rPr>
        <w:b/>
        <w:bCs/>
        <w:color w:val="000000"/>
      </w:rPr>
      <w:tblPr/>
      <w:tcPr>
        <w:shd w:val="clear" w:color="000000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DAEEF3" w:themeFill="accent5" w:themeFillTint="33"/>
      </w:tcPr>
    </w:tblStylePr>
    <w:tblStylePr w:type="band1Vert">
      <w:tblPr/>
      <w:tcPr>
        <w:shd w:val="clear" w:color="000000" w:fill="A5D5E2" w:themeFill="accent5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000000" w:fill="A5D5E2" w:themeFill="accent5" w:themeFillTint="7F"/>
      </w:tcPr>
    </w:tblStylePr>
    <w:tblStylePr w:type="nwCell">
      <w:tblPr/>
      <w:tcPr>
        <w:shd w:val="clear" w:color="000000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DE4D0" w:themeFill="accent6" w:themeFillTint="3F"/>
    </w:tcPr>
    <w:tblStylePr w:type="firstRow">
      <w:rPr>
        <w:b/>
        <w:bCs/>
        <w:color w:val="000000"/>
      </w:rPr>
      <w:tblPr/>
      <w:tcPr>
        <w:shd w:val="clear" w:color="000000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DE9D9" w:themeFill="accent6" w:themeFillTint="33"/>
      </w:tcPr>
    </w:tblStylePr>
    <w:tblStylePr w:type="band1Vert">
      <w:tblPr/>
      <w:tcPr>
        <w:shd w:val="clear" w:color="000000" w:fill="FBCAA2" w:themeFill="accent6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000000" w:fill="FBCAA2" w:themeFill="accent6" w:themeFillTint="7F"/>
      </w:tcPr>
    </w:tblStylePr>
    <w:tblStylePr w:type="nwCell">
      <w:tblPr/>
      <w:tcPr>
        <w:shd w:val="clear" w:color="000000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000000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000000" w:fill="000000" w:themeFill="text1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808080" w:themeFill="text1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000000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000000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000000" w:fill="4F81BD" w:themeFill="accent1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A7BFDE" w:themeFill="accent1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000000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000000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000000" w:fill="C0504D" w:themeFill="accent2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DFA7A6" w:themeFill="accent2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000000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000000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000000" w:fill="9BBB59" w:themeFill="accent3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CDDDAC" w:themeFill="accent3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000000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000000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000000" w:fill="8064A2" w:themeFill="accent4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BFB1D0" w:themeFill="accent4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000000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000000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000000" w:fill="4BACC6" w:themeFill="accent5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A5D5E2" w:themeFill="accent5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000000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000000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000000" w:fill="F79646" w:themeFill="accent6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FBCAA2" w:themeFill="accent6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000000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000000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000000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000000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000000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000000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000000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000000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000000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000000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000000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000000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000000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000000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000000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000000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000000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000000" w:themeFill="text1" w:themeFillShade="BF"/>
      </w:tcPr>
    </w:tblStylePr>
    <w:tblStylePr w:type="band1Vert">
      <w:tblPr/>
      <w:tcPr>
        <w:shd w:val="clear" w:color="000000" w:fill="999999" w:themeFill="text1" w:themeFillTint="66"/>
      </w:tcPr>
    </w:tblStylePr>
    <w:tblStylePr w:type="band1Horz">
      <w:tblPr/>
      <w:tcPr>
        <w:shd w:val="clear" w:color="000000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000000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000000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2C4C74" w:themeFill="accent1" w:themeFillShade="99"/>
      </w:tcPr>
    </w:tblStylePr>
    <w:tblStylePr w:type="band1Vert">
      <w:tblPr/>
      <w:tcPr>
        <w:shd w:val="clear" w:color="000000" w:fill="B8CCE4" w:themeFill="accent1" w:themeFillTint="66"/>
      </w:tcPr>
    </w:tblStylePr>
    <w:tblStylePr w:type="band1Horz">
      <w:tblPr/>
      <w:tcPr>
        <w:shd w:val="clear" w:color="000000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000000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000000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772C2A" w:themeFill="accent2" w:themeFillShade="99"/>
      </w:tcPr>
    </w:tblStylePr>
    <w:tblStylePr w:type="band1Vert">
      <w:tblPr/>
      <w:tcPr>
        <w:shd w:val="clear" w:color="000000" w:fill="E5B8B7" w:themeFill="accent2" w:themeFillTint="66"/>
      </w:tcPr>
    </w:tblStylePr>
    <w:tblStylePr w:type="band1Horz">
      <w:tblPr/>
      <w:tcPr>
        <w:shd w:val="clear" w:color="000000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000000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000000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5E7530" w:themeFill="accent3" w:themeFillShade="99"/>
      </w:tcPr>
    </w:tblStylePr>
    <w:tblStylePr w:type="band1Vert">
      <w:tblPr/>
      <w:tcPr>
        <w:shd w:val="clear" w:color="000000" w:fill="D6E3BC" w:themeFill="accent3" w:themeFillTint="66"/>
      </w:tcPr>
    </w:tblStylePr>
    <w:tblStylePr w:type="band1Horz">
      <w:tblPr/>
      <w:tcPr>
        <w:shd w:val="clear" w:color="000000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000000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000000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4C3B62" w:themeFill="accent4" w:themeFillShade="99"/>
      </w:tcPr>
    </w:tblStylePr>
    <w:tblStylePr w:type="band1Vert">
      <w:tblPr/>
      <w:tcPr>
        <w:shd w:val="clear" w:color="000000" w:fill="CCC0D9" w:themeFill="accent4" w:themeFillTint="66"/>
      </w:tcPr>
    </w:tblStylePr>
    <w:tblStylePr w:type="band1Horz">
      <w:tblPr/>
      <w:tcPr>
        <w:shd w:val="clear" w:color="000000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000000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000000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276A7C" w:themeFill="accent5" w:themeFillShade="99"/>
      </w:tcPr>
    </w:tblStylePr>
    <w:tblStylePr w:type="band1Vert">
      <w:tblPr/>
      <w:tcPr>
        <w:shd w:val="clear" w:color="000000" w:fill="B6DDE8" w:themeFill="accent5" w:themeFillTint="66"/>
      </w:tcPr>
    </w:tblStylePr>
    <w:tblStylePr w:type="band1Horz">
      <w:tblPr/>
      <w:tcPr>
        <w:shd w:val="clear" w:color="000000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000000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000000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B65608" w:themeFill="accent6" w:themeFillShade="99"/>
      </w:tcPr>
    </w:tblStylePr>
    <w:tblStylePr w:type="band1Vert">
      <w:tblPr/>
      <w:tcPr>
        <w:shd w:val="clear" w:color="000000" w:fill="FBD4B4" w:themeFill="accent6" w:themeFillTint="66"/>
      </w:tcPr>
    </w:tblStylePr>
    <w:tblStylePr w:type="band1Horz">
      <w:tblPr/>
      <w:tcPr>
        <w:shd w:val="clear" w:color="000000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000000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000000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C0C0C0" w:themeFill="text1" w:themeFillTint="3F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000000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000000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D3DFEE" w:themeFill="accent1" w:themeFillTint="3F"/>
      </w:tcPr>
    </w:tblStylePr>
    <w:tblStylePr w:type="band1Horz">
      <w:tblPr/>
      <w:tcPr>
        <w:shd w:val="clear" w:color="000000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000000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000000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EFD3D2" w:themeFill="accent2" w:themeFillTint="3F"/>
      </w:tcPr>
    </w:tblStylePr>
    <w:tblStylePr w:type="band1Horz">
      <w:tblPr/>
      <w:tcPr>
        <w:shd w:val="clear" w:color="000000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000000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000000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E6EED5" w:themeFill="accent3" w:themeFillTint="3F"/>
      </w:tcPr>
    </w:tblStylePr>
    <w:tblStylePr w:type="band1Horz">
      <w:tblPr/>
      <w:tcPr>
        <w:shd w:val="clear" w:color="000000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000000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000000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DFD8E8" w:themeFill="accent4" w:themeFillTint="3F"/>
      </w:tcPr>
    </w:tblStylePr>
    <w:tblStylePr w:type="band1Horz">
      <w:tblPr/>
      <w:tcPr>
        <w:shd w:val="clear" w:color="000000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000000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000000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D2EAF1" w:themeFill="accent5" w:themeFillTint="3F"/>
      </w:tcPr>
    </w:tblStylePr>
    <w:tblStylePr w:type="band1Horz">
      <w:tblPr/>
      <w:tcPr>
        <w:shd w:val="clear" w:color="000000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000000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000000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DE4D0" w:themeFill="accent6" w:themeFillTint="3F"/>
      </w:tcPr>
    </w:tblStylePr>
    <w:tblStylePr w:type="band1Horz">
      <w:tblPr/>
      <w:tcPr>
        <w:shd w:val="clear" w:color="000000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CCCCCC" w:themeFill="text1" w:themeFillTint="33"/>
    </w:tcPr>
    <w:tblStylePr w:type="firstRow">
      <w:rPr>
        <w:b/>
        <w:bCs/>
      </w:rPr>
      <w:tblPr/>
      <w:tcPr>
        <w:shd w:val="clear" w:color="000000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000000" w:fill="999999" w:themeFill="text1" w:themeFillTint="66"/>
      </w:tcPr>
    </w:tblStylePr>
    <w:tblStylePr w:type="firstCol">
      <w:rPr>
        <w:color w:val="000000"/>
      </w:rPr>
      <w:tblPr/>
      <w:tcPr>
        <w:shd w:val="clear" w:color="000000" w:fill="000000" w:themeFill="text1" w:themeFillShade="BF"/>
      </w:tcPr>
    </w:tblStylePr>
    <w:tblStylePr w:type="lastCol">
      <w:rPr>
        <w:color w:val="000000"/>
      </w:rPr>
      <w:tblPr/>
      <w:tcPr>
        <w:shd w:val="clear" w:color="000000" w:fill="000000" w:themeFill="text1" w:themeFillShade="BF"/>
      </w:tcPr>
    </w:tblStylePr>
    <w:tblStylePr w:type="band1Vert">
      <w:tblPr/>
      <w:tcPr>
        <w:shd w:val="clear" w:color="000000" w:fill="808080" w:themeFill="text1" w:themeFillTint="7F"/>
      </w:tcPr>
    </w:tblStylePr>
    <w:tblStylePr w:type="band1Horz">
      <w:tblPr/>
      <w:tcPr>
        <w:shd w:val="clear" w:color="000000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DBE5F1" w:themeFill="accent1" w:themeFillTint="33"/>
    </w:tcPr>
    <w:tblStylePr w:type="firstRow">
      <w:rPr>
        <w:b/>
        <w:bCs/>
      </w:rPr>
      <w:tblPr/>
      <w:tcPr>
        <w:shd w:val="clear" w:color="000000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000000" w:fill="B8CCE4" w:themeFill="accent1" w:themeFillTint="66"/>
      </w:tcPr>
    </w:tblStylePr>
    <w:tblStylePr w:type="firstCol">
      <w:rPr>
        <w:color w:val="000000"/>
      </w:rPr>
      <w:tblPr/>
      <w:tcPr>
        <w:shd w:val="clear" w:color="000000" w:fill="365F91" w:themeFill="accent1" w:themeFillShade="BF"/>
      </w:tcPr>
    </w:tblStylePr>
    <w:tblStylePr w:type="lastCol">
      <w:rPr>
        <w:color w:val="000000"/>
      </w:rPr>
      <w:tblPr/>
      <w:tcPr>
        <w:shd w:val="clear" w:color="000000" w:fill="365F91" w:themeFill="accent1" w:themeFillShade="BF"/>
      </w:tcPr>
    </w:tblStylePr>
    <w:tblStylePr w:type="band1Vert">
      <w:tblPr/>
      <w:tcPr>
        <w:shd w:val="clear" w:color="000000" w:fill="A7BFDE" w:themeFill="accent1" w:themeFillTint="7F"/>
      </w:tcPr>
    </w:tblStylePr>
    <w:tblStylePr w:type="band1Horz">
      <w:tblPr/>
      <w:tcPr>
        <w:shd w:val="clear" w:color="000000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2DBDB" w:themeFill="accent2" w:themeFillTint="33"/>
    </w:tcPr>
    <w:tblStylePr w:type="firstRow">
      <w:rPr>
        <w:b/>
        <w:bCs/>
      </w:rPr>
      <w:tblPr/>
      <w:tcPr>
        <w:shd w:val="clear" w:color="000000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000000" w:fill="E5B8B7" w:themeFill="accent2" w:themeFillTint="66"/>
      </w:tcPr>
    </w:tblStylePr>
    <w:tblStylePr w:type="firstCol">
      <w:rPr>
        <w:color w:val="000000"/>
      </w:rPr>
      <w:tblPr/>
      <w:tcPr>
        <w:shd w:val="clear" w:color="000000" w:fill="943634" w:themeFill="accent2" w:themeFillShade="BF"/>
      </w:tcPr>
    </w:tblStylePr>
    <w:tblStylePr w:type="lastCol">
      <w:rPr>
        <w:color w:val="000000"/>
      </w:rPr>
      <w:tblPr/>
      <w:tcPr>
        <w:shd w:val="clear" w:color="000000" w:fill="943634" w:themeFill="accent2" w:themeFillShade="BF"/>
      </w:tcPr>
    </w:tblStylePr>
    <w:tblStylePr w:type="band1Vert">
      <w:tblPr/>
      <w:tcPr>
        <w:shd w:val="clear" w:color="000000" w:fill="DFA7A6" w:themeFill="accent2" w:themeFillTint="7F"/>
      </w:tcPr>
    </w:tblStylePr>
    <w:tblStylePr w:type="band1Horz">
      <w:tblPr/>
      <w:tcPr>
        <w:shd w:val="clear" w:color="000000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AF1DD" w:themeFill="accent3" w:themeFillTint="33"/>
    </w:tcPr>
    <w:tblStylePr w:type="firstRow">
      <w:rPr>
        <w:b/>
        <w:bCs/>
      </w:rPr>
      <w:tblPr/>
      <w:tcPr>
        <w:shd w:val="clear" w:color="000000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000000" w:fill="D6E3BC" w:themeFill="accent3" w:themeFillTint="66"/>
      </w:tcPr>
    </w:tblStylePr>
    <w:tblStylePr w:type="firstCol">
      <w:rPr>
        <w:color w:val="000000"/>
      </w:rPr>
      <w:tblPr/>
      <w:tcPr>
        <w:shd w:val="clear" w:color="000000" w:fill="76923C" w:themeFill="accent3" w:themeFillShade="BF"/>
      </w:tcPr>
    </w:tblStylePr>
    <w:tblStylePr w:type="lastCol">
      <w:rPr>
        <w:color w:val="000000"/>
      </w:rPr>
      <w:tblPr/>
      <w:tcPr>
        <w:shd w:val="clear" w:color="000000" w:fill="76923C" w:themeFill="accent3" w:themeFillShade="BF"/>
      </w:tcPr>
    </w:tblStylePr>
    <w:tblStylePr w:type="band1Vert">
      <w:tblPr/>
      <w:tcPr>
        <w:shd w:val="clear" w:color="000000" w:fill="CDDDAC" w:themeFill="accent3" w:themeFillTint="7F"/>
      </w:tcPr>
    </w:tblStylePr>
    <w:tblStylePr w:type="band1Horz">
      <w:tblPr/>
      <w:tcPr>
        <w:shd w:val="clear" w:color="000000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5DFEC" w:themeFill="accent4" w:themeFillTint="33"/>
    </w:tcPr>
    <w:tblStylePr w:type="firstRow">
      <w:rPr>
        <w:b/>
        <w:bCs/>
      </w:rPr>
      <w:tblPr/>
      <w:tcPr>
        <w:shd w:val="clear" w:color="000000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000000" w:fill="CCC0D9" w:themeFill="accent4" w:themeFillTint="66"/>
      </w:tcPr>
    </w:tblStylePr>
    <w:tblStylePr w:type="firstCol">
      <w:rPr>
        <w:color w:val="000000"/>
      </w:rPr>
      <w:tblPr/>
      <w:tcPr>
        <w:shd w:val="clear" w:color="000000" w:fill="5F497A" w:themeFill="accent4" w:themeFillShade="BF"/>
      </w:tcPr>
    </w:tblStylePr>
    <w:tblStylePr w:type="lastCol">
      <w:rPr>
        <w:color w:val="000000"/>
      </w:rPr>
      <w:tblPr/>
      <w:tcPr>
        <w:shd w:val="clear" w:color="000000" w:fill="5F497A" w:themeFill="accent4" w:themeFillShade="BF"/>
      </w:tcPr>
    </w:tblStylePr>
    <w:tblStylePr w:type="band1Vert">
      <w:tblPr/>
      <w:tcPr>
        <w:shd w:val="clear" w:color="000000" w:fill="BFB1D0" w:themeFill="accent4" w:themeFillTint="7F"/>
      </w:tcPr>
    </w:tblStylePr>
    <w:tblStylePr w:type="band1Horz">
      <w:tblPr/>
      <w:tcPr>
        <w:shd w:val="clear" w:color="000000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DAEEF3" w:themeFill="accent5" w:themeFillTint="33"/>
    </w:tcPr>
    <w:tblStylePr w:type="firstRow">
      <w:rPr>
        <w:b/>
        <w:bCs/>
      </w:rPr>
      <w:tblPr/>
      <w:tcPr>
        <w:shd w:val="clear" w:color="000000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000000" w:fill="B6DDE8" w:themeFill="accent5" w:themeFillTint="66"/>
      </w:tcPr>
    </w:tblStylePr>
    <w:tblStylePr w:type="firstCol">
      <w:rPr>
        <w:color w:val="000000"/>
      </w:rPr>
      <w:tblPr/>
      <w:tcPr>
        <w:shd w:val="clear" w:color="000000" w:fill="31849B" w:themeFill="accent5" w:themeFillShade="BF"/>
      </w:tcPr>
    </w:tblStylePr>
    <w:tblStylePr w:type="lastCol">
      <w:rPr>
        <w:color w:val="000000"/>
      </w:rPr>
      <w:tblPr/>
      <w:tcPr>
        <w:shd w:val="clear" w:color="000000" w:fill="31849B" w:themeFill="accent5" w:themeFillShade="BF"/>
      </w:tcPr>
    </w:tblStylePr>
    <w:tblStylePr w:type="band1Vert">
      <w:tblPr/>
      <w:tcPr>
        <w:shd w:val="clear" w:color="000000" w:fill="A5D5E2" w:themeFill="accent5" w:themeFillTint="7F"/>
      </w:tcPr>
    </w:tblStylePr>
    <w:tblStylePr w:type="band1Horz">
      <w:tblPr/>
      <w:tcPr>
        <w:shd w:val="clear" w:color="000000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DE9D9" w:themeFill="accent6" w:themeFillTint="33"/>
    </w:tcPr>
    <w:tblStylePr w:type="firstRow">
      <w:rPr>
        <w:b/>
        <w:bCs/>
      </w:rPr>
      <w:tblPr/>
      <w:tcPr>
        <w:shd w:val="clear" w:color="000000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000000" w:fill="FBD4B4" w:themeFill="accent6" w:themeFillTint="66"/>
      </w:tcPr>
    </w:tblStylePr>
    <w:tblStylePr w:type="firstCol">
      <w:rPr>
        <w:color w:val="000000"/>
      </w:rPr>
      <w:tblPr/>
      <w:tcPr>
        <w:shd w:val="clear" w:color="000000" w:fill="E36C0A" w:themeFill="accent6" w:themeFillShade="BF"/>
      </w:tcPr>
    </w:tblStylePr>
    <w:tblStylePr w:type="lastCol">
      <w:rPr>
        <w:color w:val="000000"/>
      </w:rPr>
      <w:tblPr/>
      <w:tcPr>
        <w:shd w:val="clear" w:color="000000" w:fill="E36C0A" w:themeFill="accent6" w:themeFillShade="BF"/>
      </w:tcPr>
    </w:tblStylePr>
    <w:tblStylePr w:type="band1Vert">
      <w:tblPr/>
      <w:tcPr>
        <w:shd w:val="clear" w:color="000000" w:fill="FBCAA2" w:themeFill="accent6" w:themeFillTint="7F"/>
      </w:tcPr>
    </w:tblStylePr>
    <w:tblStylePr w:type="band1Horz">
      <w:tblPr/>
      <w:tcPr>
        <w:shd w:val="clear" w:color="000000" w:fill="FBCAA2" w:themeFill="accent6" w:themeFillTint="7F"/>
      </w:tcPr>
    </w:tblStylePr>
  </w:style>
  <w:style w:type="paragraph" w:customStyle="1" w:styleId="GOSTList">
    <w:name w:val="GOST List"/>
    <w:pPr>
      <w:spacing w:before="0" w:after="0" w:line="360" w:lineRule="auto"/>
      <w:ind w:hanging="357" w:left="709"/>
      <w:jc w:val="both"/>
    </w:pPr>
    <w:rPr>
      <w:rFonts w:ascii="Times New Roman" w:hAnsi="Times New Roman" w:eastAsia="Times New Roman" w:cs="Times New Roman"/>
      <w:b w:val="0"/>
      <w:i w:val="0"/>
      <w:color w:val="000000"/>
      <w:sz w:val="28"/>
      <w:u w:val="none"/>
    </w:rPr>
  </w:style>
  <w:style w:type="paragraph" w:customStyle="1" w:styleId="GOSTQuote">
    <w:name w:val="GOST Quote"/>
    <w:pPr>
      <w:spacing w:before="0" w:after="0" w:line="360" w:lineRule="auto"/>
      <w:ind w:left="709" w:firstLine="0"/>
      <w:jc w:val="both"/>
    </w:pPr>
    <w:rPr>
      <w:rFonts w:ascii="Times New Roman" w:hAnsi="Times New Roman" w:eastAsia="Times New Roman" w:cs="Times New Roman"/>
      <w:b w:val="0"/>
      <w:i/>
      <w:color w:val="000000"/>
      <w:sz w:val="28"/>
      <w:u w:val="none"/>
    </w:rPr>
  </w:style>
  <w:style w:type="paragraph" w:customStyle="1" w:styleId="GOSTCode">
    <w:name w:val="GOST Code"/>
    <w:pPr>
      <w:spacing w:before="60" w:after="60" w:line="240" w:lineRule="auto"/>
      <w:ind w:left="709" w:firstLine="0"/>
    </w:pPr>
    <w:rPr>
      <w:rFonts w:ascii="Times New Roman" w:hAnsi="Times New Roman" w:eastAsia="Times New Roman" w:cs="Times New Roman"/>
      <w:b w:val="0"/>
      <w:i w:val="0"/>
      <w:color w:val="000000"/>
      <w:sz w:val="24"/>
      <w:u w:val="none"/>
    </w:rPr>
  </w:style>
  <w:style w:type="paragraph" w:customStyle="1" w:styleId="GOSTCaption">
    <w:name w:val="GOST Caption"/>
    <w:pPr>
      <w:spacing w:before="0" w:after="0" w:line="240" w:lineRule="auto"/>
      <w:ind w:firstLine="0"/>
      <w:jc w:val="center"/>
    </w:pPr>
    <w:rPr>
      <w:rFonts w:ascii="Times New Roman" w:hAnsi="Times New Roman" w:eastAsia="Times New Roman" w:cs="Times New Roman"/>
      <w:b w:val="0"/>
      <w:i w:val="0"/>
      <w:color w:val="000000"/>
      <w:sz w:val="24"/>
      <w:u w:val="none"/>
    </w:rPr>
  </w:style>
  <w:style w:type="paragraph" w:customStyle="1" w:styleId="GOSTFigureSource">
    <w:name w:val="GOST Figure Source"/>
    <w:pPr>
      <w:spacing w:before="0" w:after="0" w:line="240" w:lineRule="auto"/>
      <w:ind w:firstLine="0"/>
      <w:jc w:val="center"/>
    </w:pPr>
    <w:rPr>
      <w:rFonts w:ascii="Times New Roman" w:hAnsi="Times New Roman" w:eastAsia="Times New Roman" w:cs="Times New Roman"/>
      <w:b w:val="0"/>
      <w:i w:val="0"/>
      <w:color w:val="000000"/>
      <w:sz w:val="24"/>
      <w:u w:val="none"/>
    </w:rPr>
  </w:style>
  <w:style w:type="paragraph" w:customStyle="1" w:styleId="GOSTFigureReference">
    <w:name w:val="GOST Figure Reference"/>
    <w:pPr>
      <w:keepNext/>
      <w:spacing w:before="0" w:after="0" w:line="360" w:lineRule="auto"/>
      <w:ind w:firstLine="709"/>
      <w:jc w:val="both"/>
    </w:pPr>
    <w:rPr>
      <w:rFonts w:ascii="Times New Roman" w:hAnsi="Times New Roman" w:eastAsia="Times New Roman" w:cs="Times New Roman"/>
      <w:b w:val="0"/>
      <w:i w:val="0"/>
      <w:color w:val="000000"/>
      <w:sz w:val="28"/>
      <w:u w:val="none"/>
    </w:rPr>
  </w:style>
  <w:style w:type="paragraph" w:customStyle="1" w:styleId="GOSTTableCaption">
    <w:name w:val="GOST Table Caption"/>
    <w:pPr>
      <w:keepNext/>
      <w:spacing w:before="0" w:after="0" w:line="240" w:lineRule="auto"/>
      <w:ind w:firstLine="0"/>
      <w:jc w:val="left"/>
    </w:pPr>
    <w:rPr>
      <w:rFonts w:ascii="Times New Roman" w:hAnsi="Times New Roman" w:eastAsia="Times New Roman" w:cs="Times New Roman"/>
      <w:b w:val="0"/>
      <w:i w:val="0"/>
      <w:color w:val="000000"/>
      <w:sz w:val="24"/>
      <w:u w:val="none"/>
    </w:rPr>
  </w:style>
  <w:style w:type="paragraph" w:customStyle="1" w:styleId="GOSTTableReference">
    <w:name w:val="GOST Table Reference"/>
    <w:pPr>
      <w:keepNext/>
      <w:spacing w:before="0" w:after="0" w:line="360" w:lineRule="auto"/>
      <w:ind w:firstLine="709"/>
      <w:jc w:val="both"/>
    </w:pPr>
    <w:rPr>
      <w:rFonts w:ascii="Times New Roman" w:hAnsi="Times New Roman" w:eastAsia="Times New Roman" w:cs="Times New Roman"/>
      <w:b w:val="0"/>
      <w:i w:val="0"/>
      <w:color w:val="000000"/>
      <w:sz w:val="28"/>
      <w:u w:val="none"/>
    </w:rPr>
  </w:style>
  <w:style w:type="paragraph" w:customStyle="1" w:styleId="GOSTCoverMetadata">
    <w:name w:val="GOST Cover Metadata"/>
    <w:pPr>
      <w:spacing w:before="0" w:after="120" w:line="360" w:lineRule="auto"/>
      <w:ind w:firstLine="0"/>
      <w:jc w:val="center"/>
    </w:pPr>
    <w:rPr>
      <w:rFonts w:ascii="Times New Roman" w:hAnsi="Times New Roman" w:eastAsia="Times New Roman" w:cs="Times New Roman"/>
      <w:b w:val="0"/>
      <w:i w:val="0"/>
      <w:color w:val="000000"/>
      <w:sz w:val="28"/>
      <w:u w:val="none"/>
    </w:rPr>
  </w:style>
  <w:style w:type="paragraph" w:customStyle="1" w:styleId="GOSTNavigation">
    <w:name w:val="GOST Navigation"/>
    <w:pPr>
      <w:spacing w:before="0" w:after="60" w:line="240" w:lineRule="auto"/>
      <w:ind w:firstLine="0"/>
    </w:pPr>
    <w:rPr>
      <w:rFonts w:ascii="Times New Roman" w:hAnsi="Times New Roman" w:eastAsia="Times New Roman" w:cs="Times New Roman"/>
      <w:b w:val="0"/>
      <w:i w:val="0"/>
      <w:color w:val="000000"/>
      <w:sz w:val="28"/>
      <w:u w:val="none"/>
    </w:rPr>
  </w:style>
</w:styles>
</file>

<file path=word/stylesWithEffect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eastAsia="Times New Roman" w:cs="Times New Roman"/>
      <w:b w:val="0"/>
      <w:i w:val="0"/>
      <w:color w:val="000000"/>
      <w:sz w:val="28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eastAsia="Times New Roman" w:cs="Times New Roman"/>
      <w:color w:val="000000"/>
      <w:u w:val="none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eastAsia="Times New Roman" w:cs="Times New Roman"/>
      <w:color w:val="000000"/>
      <w:u w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 w:left="0"/>
      <w:jc w:val="center"/>
      <w:outlineLvl w:val="0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360" w:lineRule="auto"/>
      <w:ind w:firstLine="0" w:left="0"/>
      <w:jc w:val="left"/>
      <w:outlineLvl w:val="1"/>
    </w:pPr>
    <w:rPr>
      <w:rFonts w:ascii="Times New Roman" w:hAnsi="Times New Roman" w:eastAsia="Times New Roman" w:cs="Times New Roman"/>
      <w:b/>
      <w:bCs/>
      <w:i w:val="0"/>
      <w:color w:val="000000"/>
      <w:sz w:val="28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ind w:firstLine="0" w:left="0"/>
      <w:jc w:val="left"/>
      <w:outlineLvl w:val="2"/>
    </w:pPr>
    <w:rPr>
      <w:rFonts w:ascii="Times New Roman" w:hAnsi="Times New Roman" w:eastAsia="Times New Roman" w:cs="Times New Roman"/>
      <w:b/>
      <w:bCs/>
      <w:i w:val="0"/>
      <w:color w:val="000000"/>
      <w:sz w:val="28"/>
      <w:u w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120" w:line="360" w:lineRule="auto"/>
      <w:ind w:firstLine="0" w:left="0"/>
      <w:jc w:val="left"/>
      <w:outlineLvl w:val="3"/>
    </w:pPr>
    <w:rPr>
      <w:rFonts w:ascii="Times New Roman" w:hAnsi="Times New Roman" w:eastAsia="Times New Roman" w:cs="Times New Roman"/>
      <w:b/>
      <w:bCs/>
      <w:i w:val="0"/>
      <w:iCs/>
      <w:color w:val="000000"/>
      <w:sz w:val="28"/>
      <w:u w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eastAsia="Times New Roman" w:cs="Times New Roman"/>
      <w:color w:val="000000"/>
      <w:u w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eastAsia="Times New Roman" w:cs="Times New Roman"/>
      <w:i/>
      <w:iCs/>
      <w:color w:val="000000"/>
      <w:u w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eastAsia="Times New Roman" w:cs="Times New Roman"/>
      <w:i/>
      <w:iCs/>
      <w:color w:val="000000"/>
      <w:u w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eastAsia="Times New Roman" w:cs="Times New Roman"/>
      <w:color w:val="000000"/>
      <w:sz w:val="20"/>
      <w:szCs w:val="20"/>
      <w:u w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eastAsia="Times New Roman" w:cs="Times New Roman"/>
      <w:i/>
      <w:iCs/>
      <w:color w:val="000000"/>
      <w:sz w:val="20"/>
      <w:szCs w:val="20"/>
      <w:u w:val="none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eastAsia="Times New Roman" w:cs="Times New Roman"/>
      <w:b w:val="0"/>
      <w:i w:val="0"/>
      <w:color w:val="000000"/>
      <w:sz w:val="28"/>
      <w:u w:val="none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 w:eastAsia="Times New Roman" w:cs="Times New Roman"/>
      <w:color w:val="000000"/>
      <w:u w:val="none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000000"/>
      <w:sz w:val="28"/>
      <w:szCs w:val="28"/>
      <w:u w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000000"/>
      <w:sz w:val="26"/>
      <w:szCs w:val="26"/>
      <w:u w:val="none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000000"/>
      <w:u w:val="none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360" w:lineRule="auto" w:before="0"/>
      <w:ind w:firstLine="0"/>
      <w:contextualSpacing/>
      <w:jc w:val="center"/>
    </w:pPr>
    <w:rPr>
      <w:rFonts w:ascii="Times New Roman" w:hAnsi="Times New Roman" w:eastAsia="Times New Roman" w:cs="Times New Roman"/>
      <w:b/>
      <w:i w:val="0"/>
      <w:color w:val="000000"/>
      <w:spacing w:val="5"/>
      <w:kern w:val="28"/>
      <w:sz w:val="2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000000"/>
      <w:spacing w:val="5"/>
      <w:kern w:val="28"/>
      <w:sz w:val="52"/>
      <w:szCs w:val="52"/>
      <w:u w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  <w:u w:val="none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  <w:color w:val="000000"/>
      <w:u w:val="none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eastAsia="Times New Roman" w:cs="Times New Roman"/>
      <w:color w:val="000000"/>
      <w:u w:val="none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Times New Roman" w:cs="Times New Roman"/>
      <w:color w:val="000000"/>
      <w:u w:val="none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eastAsia="Times New Roman" w:cs="Times New Roman"/>
      <w:color w:val="000000"/>
      <w:u w:val="none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  <w:color w:val="000000"/>
      <w:sz w:val="16"/>
      <w:szCs w:val="16"/>
      <w:u w:val="none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eastAsia="Times New Roman" w:cs="Times New Roman"/>
      <w:color w:val="000000"/>
      <w:sz w:val="16"/>
      <w:szCs w:val="16"/>
      <w:u w:val="none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Times New Roman" w:cs="Times New Roman"/>
      <w:color w:val="000000"/>
      <w:u w:val="none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color w:val="000000"/>
      <w:sz w:val="20"/>
      <w:szCs w:val="20"/>
      <w:u w:val="none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color w:val="000000"/>
      <w:sz w:val="20"/>
      <w:szCs w:val="20"/>
      <w:u w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Times New Roman" w:cs="Times New Roman"/>
      <w:i/>
      <w:iCs/>
      <w:color w:val="000000"/>
      <w:u w:val="none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eastAsia="Times New Roman" w:cs="Times New Roman"/>
      <w:i/>
      <w:iCs/>
      <w:color w:val="000000"/>
      <w:u w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000000"/>
      <w:u w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000000"/>
      <w:u w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  <w:u w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  <w:u w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000000"/>
      <w:sz w:val="20"/>
      <w:szCs w:val="20"/>
      <w:u w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  <w:sz w:val="20"/>
      <w:szCs w:val="20"/>
      <w:u w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Times New Roman" w:cs="Times New Roman"/>
      <w:b/>
      <w:bCs/>
      <w:color w:val="000000"/>
      <w:sz w:val="18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eastAsia="Times New Roman" w:cs="Times New Roman"/>
      <w:b/>
      <w:bCs/>
      <w:color w:val="000000"/>
      <w:u w:val="none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eastAsia="Times New Roman" w:cs="Times New Roman"/>
      <w:i/>
      <w:iCs/>
      <w:color w:val="000000"/>
      <w:u w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000000"/>
      </w:pBdr>
      <w:spacing w:before="200" w:after="280"/>
      <w:ind w:left="936" w:right="936"/>
    </w:pPr>
    <w:rPr>
      <w:rFonts w:ascii="Times New Roman" w:hAnsi="Times New Roman" w:eastAsia="Times New Roman" w:cs="Times New Roman"/>
      <w:b/>
      <w:bCs/>
      <w:i/>
      <w:iCs/>
      <w:color w:val="000000"/>
      <w:u w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eastAsia="Times New Roman" w:cs="Times New Roman"/>
      <w:b/>
      <w:bCs/>
      <w:i/>
      <w:iCs/>
      <w:color w:val="000000"/>
      <w:u w:val="none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eastAsia="Times New Roman" w:cs="Times New Roman"/>
      <w:i/>
      <w:iCs/>
      <w:color w:val="000000"/>
      <w:u w:val="none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eastAsia="Times New Roman" w:cs="Times New Roman"/>
      <w:b/>
      <w:bCs/>
      <w:i/>
      <w:iCs/>
      <w:color w:val="000000"/>
      <w:u w:val="none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eastAsia="Times New Roman" w:cs="Times New Roman"/>
      <w:smallCaps/>
      <w:color w:val="000000"/>
      <w:u w:val="non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eastAsia="Times New Roman" w:cs="Times New Roman"/>
      <w:b/>
      <w:bCs/>
      <w:smallCaps/>
      <w:color w:val="000000"/>
      <w:spacing w:val="5"/>
      <w:u w:val="non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eastAsia="Times New Roman" w:cs="Times New Roman"/>
      <w:b/>
      <w:bCs/>
      <w:smallCaps/>
      <w:color w:val="000000"/>
      <w:spacing w:val="5"/>
      <w:u w:val="non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Times New Roman" w:cs="Times New Roman"/>
      <w:color w:val="000000"/>
      <w:u w:val="none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0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0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0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0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0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0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000000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000000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000000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000000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000000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000000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000000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000000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000000" w:fill="C0C0C0" w:themeFill="text1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000000" w:fill="C0C0C0" w:themeFill="text1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000000" w:fill="D3DFEE" w:themeFill="accent1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000000" w:fill="D3DFEE" w:themeFill="accent1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000000" w:fill="EFD3D2" w:themeFill="accent2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000000" w:fill="EFD3D2" w:themeFill="accent2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000000" w:fill="E6EED5" w:themeFill="accent3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000000" w:fill="E6EED5" w:themeFill="accent3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000000" w:fill="DFD8E8" w:themeFill="accent4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000000" w:fill="DFD8E8" w:themeFill="accent4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000000" w:fill="D2EAF1" w:themeFill="accent5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000000" w:fill="D2EAF1" w:themeFill="accent5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000000" w:fill="FDE4D0" w:themeFill="accent6" w:themeFillTint="3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000000" w:fill="FDE4D0" w:themeFill="accent6" w:themeFillTint="3F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000000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000000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000000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000000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000000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000000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000000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000000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8D8D8" w:themeFill="background1" w:themeFillShade="D8"/>
      </w:tcPr>
    </w:tblStylePr>
    <w:tblStylePr w:type="band1Horz">
      <w:tblPr/>
      <w:tcPr>
        <w:shd w:val="clear" w:color="000000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000000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8D8D8" w:themeFill="background1" w:themeFillShade="D8"/>
      </w:tcPr>
    </w:tblStylePr>
    <w:tblStylePr w:type="band1Horz">
      <w:tblPr/>
      <w:tcPr>
        <w:shd w:val="clear" w:color="000000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000000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8D8D8" w:themeFill="background1" w:themeFillShade="D8"/>
      </w:tcPr>
    </w:tblStylePr>
    <w:tblStylePr w:type="band1Horz">
      <w:tblPr/>
      <w:tcPr>
        <w:shd w:val="clear" w:color="000000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000000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8D8D8" w:themeFill="background1" w:themeFillShade="D8"/>
      </w:tcPr>
    </w:tblStylePr>
    <w:tblStylePr w:type="band1Horz">
      <w:tblPr/>
      <w:tcPr>
        <w:shd w:val="clear" w:color="000000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000000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8D8D8" w:themeFill="background1" w:themeFillShade="D8"/>
      </w:tcPr>
    </w:tblStylePr>
    <w:tblStylePr w:type="band1Horz">
      <w:tblPr/>
      <w:tcPr>
        <w:shd w:val="clear" w:color="000000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000000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8D8D8" w:themeFill="background1" w:themeFillShade="D8"/>
      </w:tcPr>
    </w:tblStylePr>
    <w:tblStylePr w:type="band1Horz">
      <w:tblPr/>
      <w:tcPr>
        <w:shd w:val="clear" w:color="000000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18" w:space="0" w:color="000000"/>
        <w:bottom w:val="single" w:sz="1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000000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000000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8D8D8" w:themeFill="background1" w:themeFillShade="D8"/>
      </w:tcPr>
    </w:tblStylePr>
    <w:tblStylePr w:type="band1Horz">
      <w:tblPr/>
      <w:tcPr>
        <w:shd w:val="clear" w:color="000000" w:fill="D8D8D8" w:themeFill="background1" w:themeFillShade="D8"/>
      </w:tcPr>
    </w:tblStylePr>
    <w:tblStylePr w:type="neCell"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000000"/>
          <w:left w:val="nil"/>
          <w:bottom w:val="single" w:sz="18" w:space="0" w:color="00000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000000" w:fill="C0C0C0" w:themeFill="text1" w:themeFillTint="3F"/>
      </w:tcPr>
    </w:tblStylePr>
    <w:tblStylePr w:type="band1Horz">
      <w:tblPr/>
      <w:tcPr>
        <w:shd w:val="clear" w:color="000000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000000" w:fill="D3DFEE" w:themeFill="accent1" w:themeFillTint="3F"/>
      </w:tcPr>
    </w:tblStylePr>
    <w:tblStylePr w:type="band1Horz">
      <w:tblPr/>
      <w:tcPr>
        <w:shd w:val="clear" w:color="000000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000000" w:fill="EFD3D2" w:themeFill="accent2" w:themeFillTint="3F"/>
      </w:tcPr>
    </w:tblStylePr>
    <w:tblStylePr w:type="band1Horz">
      <w:tblPr/>
      <w:tcPr>
        <w:shd w:val="clear" w:color="000000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000000" w:fill="E6EED5" w:themeFill="accent3" w:themeFillTint="3F"/>
      </w:tcPr>
    </w:tblStylePr>
    <w:tblStylePr w:type="band1Horz">
      <w:tblPr/>
      <w:tcPr>
        <w:shd w:val="clear" w:color="000000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000000" w:fill="DFD8E8" w:themeFill="accent4" w:themeFillTint="3F"/>
      </w:tcPr>
    </w:tblStylePr>
    <w:tblStylePr w:type="band1Horz">
      <w:tblPr/>
      <w:tcPr>
        <w:shd w:val="clear" w:color="000000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000000" w:fill="D2EAF1" w:themeFill="accent5" w:themeFillTint="3F"/>
      </w:tcPr>
    </w:tblStylePr>
    <w:tblStylePr w:type="band1Horz">
      <w:tblPr/>
      <w:tcPr>
        <w:shd w:val="clear" w:color="000000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000000" w:fill="FDE4D0" w:themeFill="accent6" w:themeFillTint="3F"/>
      </w:tcPr>
    </w:tblStylePr>
    <w:tblStylePr w:type="band1Horz">
      <w:tblPr/>
      <w:tcPr>
        <w:shd w:val="clear" w:color="000000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000000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0" w:fill="C0C0C0" w:themeFill="text1" w:themeFillTint="3F"/>
      </w:tcPr>
    </w:tblStylePr>
    <w:tblStylePr w:type="nwCell">
      <w:tblPr/>
      <w:tcPr>
        <w:shd w:val="clear" w:color="000000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000000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0" w:fill="D3DFEE" w:themeFill="accent1" w:themeFillTint="3F"/>
      </w:tcPr>
    </w:tblStylePr>
    <w:tblStylePr w:type="nwCell">
      <w:tblPr/>
      <w:tcPr>
        <w:shd w:val="clear" w:color="000000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000000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0" w:fill="EFD3D2" w:themeFill="accent2" w:themeFillTint="3F"/>
      </w:tcPr>
    </w:tblStylePr>
    <w:tblStylePr w:type="nwCell">
      <w:tblPr/>
      <w:tcPr>
        <w:shd w:val="clear" w:color="000000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000000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0" w:fill="E6EED5" w:themeFill="accent3" w:themeFillTint="3F"/>
      </w:tcPr>
    </w:tblStylePr>
    <w:tblStylePr w:type="nwCell">
      <w:tblPr/>
      <w:tcPr>
        <w:shd w:val="clear" w:color="000000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000000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0" w:fill="DFD8E8" w:themeFill="accent4" w:themeFillTint="3F"/>
      </w:tcPr>
    </w:tblStylePr>
    <w:tblStylePr w:type="nwCell">
      <w:tblPr/>
      <w:tcPr>
        <w:shd w:val="clear" w:color="000000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000000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0" w:fill="D2EAF1" w:themeFill="accent5" w:themeFillTint="3F"/>
      </w:tcPr>
    </w:tblStylePr>
    <w:tblStylePr w:type="nwCell">
      <w:tblPr/>
      <w:tcPr>
        <w:shd w:val="clear" w:color="000000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000000" w:fill="FFFFFF" w:themeFill="background1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000000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000000" w:fill="FDE4D0" w:themeFill="accent6" w:themeFillTint="3F"/>
      </w:tcPr>
    </w:tblStylePr>
    <w:tblStylePr w:type="nwCell">
      <w:tblPr/>
      <w:tcPr>
        <w:shd w:val="clear" w:color="000000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808080" w:themeFill="text1" w:themeFillTint="7F"/>
      </w:tcPr>
    </w:tblStylePr>
    <w:tblStylePr w:type="band1Horz">
      <w:tblPr/>
      <w:tcPr>
        <w:shd w:val="clear" w:color="000000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A7BFDE" w:themeFill="accent1" w:themeFillTint="7F"/>
      </w:tcPr>
    </w:tblStylePr>
    <w:tblStylePr w:type="band1Horz">
      <w:tblPr/>
      <w:tcPr>
        <w:shd w:val="clear" w:color="000000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DFA7A6" w:themeFill="accent2" w:themeFillTint="7F"/>
      </w:tcPr>
    </w:tblStylePr>
    <w:tblStylePr w:type="band1Horz">
      <w:tblPr/>
      <w:tcPr>
        <w:shd w:val="clear" w:color="000000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CDDDAC" w:themeFill="accent3" w:themeFillTint="7F"/>
      </w:tcPr>
    </w:tblStylePr>
    <w:tblStylePr w:type="band1Horz">
      <w:tblPr/>
      <w:tcPr>
        <w:shd w:val="clear" w:color="000000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BFB1D0" w:themeFill="accent4" w:themeFillTint="7F"/>
      </w:tcPr>
    </w:tblStylePr>
    <w:tblStylePr w:type="band1Horz">
      <w:tblPr/>
      <w:tcPr>
        <w:shd w:val="clear" w:color="000000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A5D5E2" w:themeFill="accent5" w:themeFillTint="7F"/>
      </w:tcPr>
    </w:tblStylePr>
    <w:tblStylePr w:type="band1Horz">
      <w:tblPr/>
      <w:tcPr>
        <w:shd w:val="clear" w:color="000000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000000" w:fill="FBCAA2" w:themeFill="accent6" w:themeFillTint="7F"/>
      </w:tcPr>
    </w:tblStylePr>
    <w:tblStylePr w:type="band1Horz">
      <w:tblPr/>
      <w:tcPr>
        <w:shd w:val="clear" w:color="000000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C0C0C0" w:themeFill="text1" w:themeFillTint="3F"/>
    </w:tcPr>
    <w:tblStylePr w:type="firstRow">
      <w:rPr>
        <w:b/>
        <w:bCs/>
        <w:color w:val="000000"/>
      </w:rPr>
      <w:tblPr/>
      <w:tcPr>
        <w:shd w:val="clear" w:color="000000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CCCCCC" w:themeFill="text1" w:themeFillTint="33"/>
      </w:tcPr>
    </w:tblStylePr>
    <w:tblStylePr w:type="band1Vert">
      <w:tblPr/>
      <w:tcPr>
        <w:shd w:val="clear" w:color="000000" w:fill="808080" w:themeFill="text1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000000" w:fill="808080" w:themeFill="text1" w:themeFillTint="7F"/>
      </w:tcPr>
    </w:tblStylePr>
    <w:tblStylePr w:type="nwCell">
      <w:tblPr/>
      <w:tcPr>
        <w:shd w:val="clear" w:color="000000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D3DFEE" w:themeFill="accent1" w:themeFillTint="3F"/>
    </w:tcPr>
    <w:tblStylePr w:type="firstRow">
      <w:rPr>
        <w:b/>
        <w:bCs/>
        <w:color w:val="000000"/>
      </w:rPr>
      <w:tblPr/>
      <w:tcPr>
        <w:shd w:val="clear" w:color="000000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DBE5F1" w:themeFill="accent1" w:themeFillTint="33"/>
      </w:tcPr>
    </w:tblStylePr>
    <w:tblStylePr w:type="band1Vert">
      <w:tblPr/>
      <w:tcPr>
        <w:shd w:val="clear" w:color="000000" w:fill="A7BFDE" w:themeFill="accent1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000000" w:fill="A7BFDE" w:themeFill="accent1" w:themeFillTint="7F"/>
      </w:tcPr>
    </w:tblStylePr>
    <w:tblStylePr w:type="nwCell">
      <w:tblPr/>
      <w:tcPr>
        <w:shd w:val="clear" w:color="000000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FD3D2" w:themeFill="accent2" w:themeFillTint="3F"/>
    </w:tcPr>
    <w:tblStylePr w:type="firstRow">
      <w:rPr>
        <w:b/>
        <w:bCs/>
        <w:color w:val="000000"/>
      </w:rPr>
      <w:tblPr/>
      <w:tcPr>
        <w:shd w:val="clear" w:color="000000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2DBDB" w:themeFill="accent2" w:themeFillTint="33"/>
      </w:tcPr>
    </w:tblStylePr>
    <w:tblStylePr w:type="band1Vert">
      <w:tblPr/>
      <w:tcPr>
        <w:shd w:val="clear" w:color="000000" w:fill="DFA7A6" w:themeFill="accent2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000000" w:fill="DFA7A6" w:themeFill="accent2" w:themeFillTint="7F"/>
      </w:tcPr>
    </w:tblStylePr>
    <w:tblStylePr w:type="nwCell">
      <w:tblPr/>
      <w:tcPr>
        <w:shd w:val="clear" w:color="000000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6EED5" w:themeFill="accent3" w:themeFillTint="3F"/>
    </w:tcPr>
    <w:tblStylePr w:type="firstRow">
      <w:rPr>
        <w:b/>
        <w:bCs/>
        <w:color w:val="000000"/>
      </w:rPr>
      <w:tblPr/>
      <w:tcPr>
        <w:shd w:val="clear" w:color="000000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EAF1DD" w:themeFill="accent3" w:themeFillTint="33"/>
      </w:tcPr>
    </w:tblStylePr>
    <w:tblStylePr w:type="band1Vert">
      <w:tblPr/>
      <w:tcPr>
        <w:shd w:val="clear" w:color="000000" w:fill="CDDDAC" w:themeFill="accent3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000000" w:fill="CDDDAC" w:themeFill="accent3" w:themeFillTint="7F"/>
      </w:tcPr>
    </w:tblStylePr>
    <w:tblStylePr w:type="nwCell">
      <w:tblPr/>
      <w:tcPr>
        <w:shd w:val="clear" w:color="000000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DFD8E8" w:themeFill="accent4" w:themeFillTint="3F"/>
    </w:tcPr>
    <w:tblStylePr w:type="firstRow">
      <w:rPr>
        <w:b/>
        <w:bCs/>
        <w:color w:val="000000"/>
      </w:rPr>
      <w:tblPr/>
      <w:tcPr>
        <w:shd w:val="clear" w:color="000000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E5DFEC" w:themeFill="accent4" w:themeFillTint="33"/>
      </w:tcPr>
    </w:tblStylePr>
    <w:tblStylePr w:type="band1Vert">
      <w:tblPr/>
      <w:tcPr>
        <w:shd w:val="clear" w:color="000000" w:fill="BFB1D0" w:themeFill="accent4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000000" w:fill="BFB1D0" w:themeFill="accent4" w:themeFillTint="7F"/>
      </w:tcPr>
    </w:tblStylePr>
    <w:tblStylePr w:type="nwCell">
      <w:tblPr/>
      <w:tcPr>
        <w:shd w:val="clear" w:color="000000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D2EAF1" w:themeFill="accent5" w:themeFillTint="3F"/>
    </w:tcPr>
    <w:tblStylePr w:type="firstRow">
      <w:rPr>
        <w:b/>
        <w:bCs/>
        <w:color w:val="000000"/>
      </w:rPr>
      <w:tblPr/>
      <w:tcPr>
        <w:shd w:val="clear" w:color="000000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DAEEF3" w:themeFill="accent5" w:themeFillTint="33"/>
      </w:tcPr>
    </w:tblStylePr>
    <w:tblStylePr w:type="band1Vert">
      <w:tblPr/>
      <w:tcPr>
        <w:shd w:val="clear" w:color="000000" w:fill="A5D5E2" w:themeFill="accent5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000000" w:fill="A5D5E2" w:themeFill="accent5" w:themeFillTint="7F"/>
      </w:tcPr>
    </w:tblStylePr>
    <w:tblStylePr w:type="nwCell">
      <w:tblPr/>
      <w:tcPr>
        <w:shd w:val="clear" w:color="000000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DE4D0" w:themeFill="accent6" w:themeFillTint="3F"/>
    </w:tcPr>
    <w:tblStylePr w:type="firstRow">
      <w:rPr>
        <w:b/>
        <w:bCs/>
        <w:color w:val="000000"/>
      </w:rPr>
      <w:tblPr/>
      <w:tcPr>
        <w:shd w:val="clear" w:color="000000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DE9D9" w:themeFill="accent6" w:themeFillTint="33"/>
      </w:tcPr>
    </w:tblStylePr>
    <w:tblStylePr w:type="band1Vert">
      <w:tblPr/>
      <w:tcPr>
        <w:shd w:val="clear" w:color="000000" w:fill="FBCAA2" w:themeFill="accent6" w:themeFillTint="7F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000000" w:fill="FBCAA2" w:themeFill="accent6" w:themeFillTint="7F"/>
      </w:tcPr>
    </w:tblStylePr>
    <w:tblStylePr w:type="nwCell">
      <w:tblPr/>
      <w:tcPr>
        <w:shd w:val="clear" w:color="000000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000000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000000" w:fill="000000" w:themeFill="text1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808080" w:themeFill="text1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000000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000000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000000" w:fill="4F81BD" w:themeFill="accent1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A7BFDE" w:themeFill="accent1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000000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000000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000000" w:fill="C0504D" w:themeFill="accent2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DFA7A6" w:themeFill="accent2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000000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000000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000000" w:fill="9BBB59" w:themeFill="accent3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CDDDAC" w:themeFill="accent3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000000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000000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000000" w:fill="8064A2" w:themeFill="accent4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BFB1D0" w:themeFill="accent4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000000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000000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000000" w:fill="4BACC6" w:themeFill="accent5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A5D5E2" w:themeFill="accent5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000000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6" w:space="0" w:color="000000"/>
        <w:insideV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000000"/>
          <w:left w:val="single" w:sz="8" w:space="0" w:color="000000"/>
          <w:bottom w:val="single" w:sz="24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  <w:shd w:val="clear" w:color="000000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000000"/>
          <w:right w:val="single" w:sz="24" w:space="0" w:color="000000"/>
          <w:insideH w:val="nil"/>
          <w:insideV w:val="nil"/>
        </w:tcBorders>
        <w:shd w:val="clear" w:color="000000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000000" w:fill="F79646" w:themeFill="accent6"/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cBorders>
        <w:shd w:val="clear" w:color="000000" w:fill="FBCAA2" w:themeFill="accent6" w:themeFillTint="7F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cBorders>
        <w:shd w:val="clear" w:color="000000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000000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000000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000000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000000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000000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000000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000000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000000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000000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000000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000000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000000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000000"/>
          <w:right w:val="nil"/>
          <w:insideH w:val="nil"/>
          <w:insideV w:val="nil"/>
        </w:tcBorders>
        <w:shd w:val="clear" w:color="000000" w:fill="000000" w:themeFill="text1"/>
      </w:tcPr>
    </w:tblStylePr>
    <w:tblStylePr w:type="lastRow">
      <w:tblPr/>
      <w:tcPr>
        <w:tcBorders>
          <w:top w:val="single" w:sz="18" w:space="0" w:color="000000"/>
          <w:left w:val="nil"/>
          <w:bottom w:val="nil"/>
          <w:right w:val="nil"/>
          <w:insideH w:val="nil"/>
          <w:insideV w:val="nil"/>
        </w:tcBorders>
        <w:shd w:val="clear" w:color="000000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000000"/>
          <w:insideH w:val="nil"/>
          <w:insideV w:val="nil"/>
        </w:tcBorders>
        <w:shd w:val="clear" w:color="000000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000000"/>
          <w:bottom w:val="nil"/>
          <w:right w:val="nil"/>
          <w:insideH w:val="nil"/>
          <w:insideV w:val="nil"/>
        </w:tcBorders>
        <w:shd w:val="clear" w:color="000000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000000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000000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000000" w:themeFill="text1" w:themeFillShade="BF"/>
      </w:tcPr>
    </w:tblStylePr>
    <w:tblStylePr w:type="band1Vert">
      <w:tblPr/>
      <w:tcPr>
        <w:shd w:val="clear" w:color="000000" w:fill="999999" w:themeFill="text1" w:themeFillTint="66"/>
      </w:tcPr>
    </w:tblStylePr>
    <w:tblStylePr w:type="band1Horz">
      <w:tblPr/>
      <w:tcPr>
        <w:shd w:val="clear" w:color="000000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000000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000000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2C4C74" w:themeFill="accent1" w:themeFillShade="99"/>
      </w:tcPr>
    </w:tblStylePr>
    <w:tblStylePr w:type="band1Vert">
      <w:tblPr/>
      <w:tcPr>
        <w:shd w:val="clear" w:color="000000" w:fill="B8CCE4" w:themeFill="accent1" w:themeFillTint="66"/>
      </w:tcPr>
    </w:tblStylePr>
    <w:tblStylePr w:type="band1Horz">
      <w:tblPr/>
      <w:tcPr>
        <w:shd w:val="clear" w:color="000000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000000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000000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772C2A" w:themeFill="accent2" w:themeFillShade="99"/>
      </w:tcPr>
    </w:tblStylePr>
    <w:tblStylePr w:type="band1Vert">
      <w:tblPr/>
      <w:tcPr>
        <w:shd w:val="clear" w:color="000000" w:fill="E5B8B7" w:themeFill="accent2" w:themeFillTint="66"/>
      </w:tcPr>
    </w:tblStylePr>
    <w:tblStylePr w:type="band1Horz">
      <w:tblPr/>
      <w:tcPr>
        <w:shd w:val="clear" w:color="000000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000000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000000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5E7530" w:themeFill="accent3" w:themeFillShade="99"/>
      </w:tcPr>
    </w:tblStylePr>
    <w:tblStylePr w:type="band1Vert">
      <w:tblPr/>
      <w:tcPr>
        <w:shd w:val="clear" w:color="000000" w:fill="D6E3BC" w:themeFill="accent3" w:themeFillTint="66"/>
      </w:tcPr>
    </w:tblStylePr>
    <w:tblStylePr w:type="band1Horz">
      <w:tblPr/>
      <w:tcPr>
        <w:shd w:val="clear" w:color="000000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000000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000000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4C3B62" w:themeFill="accent4" w:themeFillShade="99"/>
      </w:tcPr>
    </w:tblStylePr>
    <w:tblStylePr w:type="band1Vert">
      <w:tblPr/>
      <w:tcPr>
        <w:shd w:val="clear" w:color="000000" w:fill="CCC0D9" w:themeFill="accent4" w:themeFillTint="66"/>
      </w:tcPr>
    </w:tblStylePr>
    <w:tblStylePr w:type="band1Horz">
      <w:tblPr/>
      <w:tcPr>
        <w:shd w:val="clear" w:color="000000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000000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000000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276A7C" w:themeFill="accent5" w:themeFillShade="99"/>
      </w:tcPr>
    </w:tblStylePr>
    <w:tblStylePr w:type="band1Vert">
      <w:tblPr/>
      <w:tcPr>
        <w:shd w:val="clear" w:color="000000" w:fill="B6DDE8" w:themeFill="accent5" w:themeFillTint="66"/>
      </w:tcPr>
    </w:tblStylePr>
    <w:tblStylePr w:type="band1Horz">
      <w:tblPr/>
      <w:tcPr>
        <w:shd w:val="clear" w:color="000000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top w:val="single" w:sz="2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000000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000000"/>
        </w:tcBorders>
        <w:shd w:val="clear" w:color="000000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000000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B65608" w:themeFill="accent6" w:themeFillShade="99"/>
      </w:tcPr>
    </w:tblStylePr>
    <w:tblStylePr w:type="band1Vert">
      <w:tblPr/>
      <w:tcPr>
        <w:shd w:val="clear" w:color="000000" w:fill="FBD4B4" w:themeFill="accent6" w:themeFillTint="66"/>
      </w:tcPr>
    </w:tblStylePr>
    <w:tblStylePr w:type="band1Horz">
      <w:tblPr/>
      <w:tcPr>
        <w:shd w:val="clear" w:color="000000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000000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000000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C0C0C0" w:themeFill="text1" w:themeFillTint="3F"/>
      </w:tcPr>
    </w:tblStylePr>
    <w:tblStylePr w:type="band1Horz">
      <w:tblPr/>
      <w:tcPr>
        <w:shd w:val="clear" w:color="000000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000000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000000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D3DFEE" w:themeFill="accent1" w:themeFillTint="3F"/>
      </w:tcPr>
    </w:tblStylePr>
    <w:tblStylePr w:type="band1Horz">
      <w:tblPr/>
      <w:tcPr>
        <w:shd w:val="clear" w:color="000000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000000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000000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EFD3D2" w:themeFill="accent2" w:themeFillTint="3F"/>
      </w:tcPr>
    </w:tblStylePr>
    <w:tblStylePr w:type="band1Horz">
      <w:tblPr/>
      <w:tcPr>
        <w:shd w:val="clear" w:color="000000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000000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000000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E6EED5" w:themeFill="accent3" w:themeFillTint="3F"/>
      </w:tcPr>
    </w:tblStylePr>
    <w:tblStylePr w:type="band1Horz">
      <w:tblPr/>
      <w:tcPr>
        <w:shd w:val="clear" w:color="000000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000000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000000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DFD8E8" w:themeFill="accent4" w:themeFillTint="3F"/>
      </w:tcPr>
    </w:tblStylePr>
    <w:tblStylePr w:type="band1Horz">
      <w:tblPr/>
      <w:tcPr>
        <w:shd w:val="clear" w:color="000000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000000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000000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D2EAF1" w:themeFill="accent5" w:themeFillTint="3F"/>
      </w:tcPr>
    </w:tblStylePr>
    <w:tblStylePr w:type="band1Horz">
      <w:tblPr/>
      <w:tcPr>
        <w:shd w:val="clear" w:color="000000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000000"/>
        </w:tcBorders>
        <w:shd w:val="clear" w:color="000000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</w:tcBorders>
        <w:shd w:val="clear" w:color="000000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000000" w:fill="FDE4D0" w:themeFill="accent6" w:themeFillTint="3F"/>
      </w:tcPr>
    </w:tblStylePr>
    <w:tblStylePr w:type="band1Horz">
      <w:tblPr/>
      <w:tcPr>
        <w:shd w:val="clear" w:color="000000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CCCCCC" w:themeFill="text1" w:themeFillTint="33"/>
    </w:tcPr>
    <w:tblStylePr w:type="firstRow">
      <w:rPr>
        <w:b/>
        <w:bCs/>
      </w:rPr>
      <w:tblPr/>
      <w:tcPr>
        <w:shd w:val="clear" w:color="000000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000000" w:fill="999999" w:themeFill="text1" w:themeFillTint="66"/>
      </w:tcPr>
    </w:tblStylePr>
    <w:tblStylePr w:type="firstCol">
      <w:rPr>
        <w:color w:val="000000"/>
      </w:rPr>
      <w:tblPr/>
      <w:tcPr>
        <w:shd w:val="clear" w:color="000000" w:fill="000000" w:themeFill="text1" w:themeFillShade="BF"/>
      </w:tcPr>
    </w:tblStylePr>
    <w:tblStylePr w:type="lastCol">
      <w:rPr>
        <w:color w:val="000000"/>
      </w:rPr>
      <w:tblPr/>
      <w:tcPr>
        <w:shd w:val="clear" w:color="000000" w:fill="000000" w:themeFill="text1" w:themeFillShade="BF"/>
      </w:tcPr>
    </w:tblStylePr>
    <w:tblStylePr w:type="band1Vert">
      <w:tblPr/>
      <w:tcPr>
        <w:shd w:val="clear" w:color="000000" w:fill="808080" w:themeFill="text1" w:themeFillTint="7F"/>
      </w:tcPr>
    </w:tblStylePr>
    <w:tblStylePr w:type="band1Horz">
      <w:tblPr/>
      <w:tcPr>
        <w:shd w:val="clear" w:color="000000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DBE5F1" w:themeFill="accent1" w:themeFillTint="33"/>
    </w:tcPr>
    <w:tblStylePr w:type="firstRow">
      <w:rPr>
        <w:b/>
        <w:bCs/>
      </w:rPr>
      <w:tblPr/>
      <w:tcPr>
        <w:shd w:val="clear" w:color="000000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000000" w:fill="B8CCE4" w:themeFill="accent1" w:themeFillTint="66"/>
      </w:tcPr>
    </w:tblStylePr>
    <w:tblStylePr w:type="firstCol">
      <w:rPr>
        <w:color w:val="000000"/>
      </w:rPr>
      <w:tblPr/>
      <w:tcPr>
        <w:shd w:val="clear" w:color="000000" w:fill="365F91" w:themeFill="accent1" w:themeFillShade="BF"/>
      </w:tcPr>
    </w:tblStylePr>
    <w:tblStylePr w:type="lastCol">
      <w:rPr>
        <w:color w:val="000000"/>
      </w:rPr>
      <w:tblPr/>
      <w:tcPr>
        <w:shd w:val="clear" w:color="000000" w:fill="365F91" w:themeFill="accent1" w:themeFillShade="BF"/>
      </w:tcPr>
    </w:tblStylePr>
    <w:tblStylePr w:type="band1Vert">
      <w:tblPr/>
      <w:tcPr>
        <w:shd w:val="clear" w:color="000000" w:fill="A7BFDE" w:themeFill="accent1" w:themeFillTint="7F"/>
      </w:tcPr>
    </w:tblStylePr>
    <w:tblStylePr w:type="band1Horz">
      <w:tblPr/>
      <w:tcPr>
        <w:shd w:val="clear" w:color="000000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2DBDB" w:themeFill="accent2" w:themeFillTint="33"/>
    </w:tcPr>
    <w:tblStylePr w:type="firstRow">
      <w:rPr>
        <w:b/>
        <w:bCs/>
      </w:rPr>
      <w:tblPr/>
      <w:tcPr>
        <w:shd w:val="clear" w:color="000000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000000" w:fill="E5B8B7" w:themeFill="accent2" w:themeFillTint="66"/>
      </w:tcPr>
    </w:tblStylePr>
    <w:tblStylePr w:type="firstCol">
      <w:rPr>
        <w:color w:val="000000"/>
      </w:rPr>
      <w:tblPr/>
      <w:tcPr>
        <w:shd w:val="clear" w:color="000000" w:fill="943634" w:themeFill="accent2" w:themeFillShade="BF"/>
      </w:tcPr>
    </w:tblStylePr>
    <w:tblStylePr w:type="lastCol">
      <w:rPr>
        <w:color w:val="000000"/>
      </w:rPr>
      <w:tblPr/>
      <w:tcPr>
        <w:shd w:val="clear" w:color="000000" w:fill="943634" w:themeFill="accent2" w:themeFillShade="BF"/>
      </w:tcPr>
    </w:tblStylePr>
    <w:tblStylePr w:type="band1Vert">
      <w:tblPr/>
      <w:tcPr>
        <w:shd w:val="clear" w:color="000000" w:fill="DFA7A6" w:themeFill="accent2" w:themeFillTint="7F"/>
      </w:tcPr>
    </w:tblStylePr>
    <w:tblStylePr w:type="band1Horz">
      <w:tblPr/>
      <w:tcPr>
        <w:shd w:val="clear" w:color="000000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AF1DD" w:themeFill="accent3" w:themeFillTint="33"/>
    </w:tcPr>
    <w:tblStylePr w:type="firstRow">
      <w:rPr>
        <w:b/>
        <w:bCs/>
      </w:rPr>
      <w:tblPr/>
      <w:tcPr>
        <w:shd w:val="clear" w:color="000000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000000" w:fill="D6E3BC" w:themeFill="accent3" w:themeFillTint="66"/>
      </w:tcPr>
    </w:tblStylePr>
    <w:tblStylePr w:type="firstCol">
      <w:rPr>
        <w:color w:val="000000"/>
      </w:rPr>
      <w:tblPr/>
      <w:tcPr>
        <w:shd w:val="clear" w:color="000000" w:fill="76923C" w:themeFill="accent3" w:themeFillShade="BF"/>
      </w:tcPr>
    </w:tblStylePr>
    <w:tblStylePr w:type="lastCol">
      <w:rPr>
        <w:color w:val="000000"/>
      </w:rPr>
      <w:tblPr/>
      <w:tcPr>
        <w:shd w:val="clear" w:color="000000" w:fill="76923C" w:themeFill="accent3" w:themeFillShade="BF"/>
      </w:tcPr>
    </w:tblStylePr>
    <w:tblStylePr w:type="band1Vert">
      <w:tblPr/>
      <w:tcPr>
        <w:shd w:val="clear" w:color="000000" w:fill="CDDDAC" w:themeFill="accent3" w:themeFillTint="7F"/>
      </w:tcPr>
    </w:tblStylePr>
    <w:tblStylePr w:type="band1Horz">
      <w:tblPr/>
      <w:tcPr>
        <w:shd w:val="clear" w:color="000000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E5DFEC" w:themeFill="accent4" w:themeFillTint="33"/>
    </w:tcPr>
    <w:tblStylePr w:type="firstRow">
      <w:rPr>
        <w:b/>
        <w:bCs/>
      </w:rPr>
      <w:tblPr/>
      <w:tcPr>
        <w:shd w:val="clear" w:color="000000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000000" w:fill="CCC0D9" w:themeFill="accent4" w:themeFillTint="66"/>
      </w:tcPr>
    </w:tblStylePr>
    <w:tblStylePr w:type="firstCol">
      <w:rPr>
        <w:color w:val="000000"/>
      </w:rPr>
      <w:tblPr/>
      <w:tcPr>
        <w:shd w:val="clear" w:color="000000" w:fill="5F497A" w:themeFill="accent4" w:themeFillShade="BF"/>
      </w:tcPr>
    </w:tblStylePr>
    <w:tblStylePr w:type="lastCol">
      <w:rPr>
        <w:color w:val="000000"/>
      </w:rPr>
      <w:tblPr/>
      <w:tcPr>
        <w:shd w:val="clear" w:color="000000" w:fill="5F497A" w:themeFill="accent4" w:themeFillShade="BF"/>
      </w:tcPr>
    </w:tblStylePr>
    <w:tblStylePr w:type="band1Vert">
      <w:tblPr/>
      <w:tcPr>
        <w:shd w:val="clear" w:color="000000" w:fill="BFB1D0" w:themeFill="accent4" w:themeFillTint="7F"/>
      </w:tcPr>
    </w:tblStylePr>
    <w:tblStylePr w:type="band1Horz">
      <w:tblPr/>
      <w:tcPr>
        <w:shd w:val="clear" w:color="000000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DAEEF3" w:themeFill="accent5" w:themeFillTint="33"/>
    </w:tcPr>
    <w:tblStylePr w:type="firstRow">
      <w:rPr>
        <w:b/>
        <w:bCs/>
      </w:rPr>
      <w:tblPr/>
      <w:tcPr>
        <w:shd w:val="clear" w:color="000000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000000" w:fill="B6DDE8" w:themeFill="accent5" w:themeFillTint="66"/>
      </w:tcPr>
    </w:tblStylePr>
    <w:tblStylePr w:type="firstCol">
      <w:rPr>
        <w:color w:val="000000"/>
      </w:rPr>
      <w:tblPr/>
      <w:tcPr>
        <w:shd w:val="clear" w:color="000000" w:fill="31849B" w:themeFill="accent5" w:themeFillShade="BF"/>
      </w:tcPr>
    </w:tblStylePr>
    <w:tblStylePr w:type="lastCol">
      <w:rPr>
        <w:color w:val="000000"/>
      </w:rPr>
      <w:tblPr/>
      <w:tcPr>
        <w:shd w:val="clear" w:color="000000" w:fill="31849B" w:themeFill="accent5" w:themeFillShade="BF"/>
      </w:tcPr>
    </w:tblStylePr>
    <w:tblStylePr w:type="band1Vert">
      <w:tblPr/>
      <w:tcPr>
        <w:shd w:val="clear" w:color="000000" w:fill="A5D5E2" w:themeFill="accent5" w:themeFillTint="7F"/>
      </w:tcPr>
    </w:tblStylePr>
    <w:tblStylePr w:type="band1Horz">
      <w:tblPr/>
      <w:tcPr>
        <w:shd w:val="clear" w:color="000000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u w:val="none"/>
    </w:rPr>
    <w:tblPr>
      <w:tblStyleRowBandSize w:val="1"/>
      <w:tblStyleColBandSize w:val="1"/>
      <w:tblInd w:w="0" w:type="dxa"/>
      <w:tblBorders>
        <w:insideH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000000" w:fill="FDE9D9" w:themeFill="accent6" w:themeFillTint="33"/>
    </w:tcPr>
    <w:tblStylePr w:type="firstRow">
      <w:rPr>
        <w:b/>
        <w:bCs/>
      </w:rPr>
      <w:tblPr/>
      <w:tcPr>
        <w:shd w:val="clear" w:color="000000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000000" w:fill="FBD4B4" w:themeFill="accent6" w:themeFillTint="66"/>
      </w:tcPr>
    </w:tblStylePr>
    <w:tblStylePr w:type="firstCol">
      <w:rPr>
        <w:color w:val="000000"/>
      </w:rPr>
      <w:tblPr/>
      <w:tcPr>
        <w:shd w:val="clear" w:color="000000" w:fill="E36C0A" w:themeFill="accent6" w:themeFillShade="BF"/>
      </w:tcPr>
    </w:tblStylePr>
    <w:tblStylePr w:type="lastCol">
      <w:rPr>
        <w:color w:val="000000"/>
      </w:rPr>
      <w:tblPr/>
      <w:tcPr>
        <w:shd w:val="clear" w:color="000000" w:fill="E36C0A" w:themeFill="accent6" w:themeFillShade="BF"/>
      </w:tcPr>
    </w:tblStylePr>
    <w:tblStylePr w:type="band1Vert">
      <w:tblPr/>
      <w:tcPr>
        <w:shd w:val="clear" w:color="000000" w:fill="FBCAA2" w:themeFill="accent6" w:themeFillTint="7F"/>
      </w:tcPr>
    </w:tblStylePr>
    <w:tblStylePr w:type="band1Horz">
      <w:tblPr/>
      <w:tcPr>
        <w:shd w:val="clear" w:color="000000" w:fill="FBCAA2" w:themeFill="accent6" w:themeFillTint="7F"/>
      </w:tcPr>
    </w:tblStylePr>
  </w:style>
  <w:style w:type="paragraph" w:customStyle="1" w:styleId="GOSTList">
    <w:name w:val="GOST List"/>
    <w:pPr>
      <w:spacing w:before="0" w:after="0" w:line="360" w:lineRule="auto"/>
      <w:ind w:hanging="357" w:left="709"/>
      <w:jc w:val="both"/>
    </w:pPr>
    <w:rPr>
      <w:rFonts w:ascii="Times New Roman" w:hAnsi="Times New Roman" w:eastAsia="Times New Roman" w:cs="Times New Roman"/>
      <w:b w:val="0"/>
      <w:i w:val="0"/>
      <w:color w:val="000000"/>
      <w:sz w:val="28"/>
      <w:u w:val="none"/>
    </w:rPr>
  </w:style>
  <w:style w:type="paragraph" w:customStyle="1" w:styleId="GOSTQuote">
    <w:name w:val="GOST Quote"/>
    <w:pPr>
      <w:spacing w:before="0" w:after="0" w:line="360" w:lineRule="auto"/>
      <w:ind w:left="709" w:firstLine="0"/>
      <w:jc w:val="both"/>
    </w:pPr>
    <w:rPr>
      <w:rFonts w:ascii="Times New Roman" w:hAnsi="Times New Roman" w:eastAsia="Times New Roman" w:cs="Times New Roman"/>
      <w:b w:val="0"/>
      <w:i/>
      <w:color w:val="000000"/>
      <w:sz w:val="28"/>
      <w:u w:val="none"/>
    </w:rPr>
  </w:style>
  <w:style w:type="paragraph" w:customStyle="1" w:styleId="GOSTCode">
    <w:name w:val="GOST Code"/>
    <w:pPr>
      <w:spacing w:before="60" w:after="60" w:line="240" w:lineRule="auto"/>
      <w:ind w:left="709" w:firstLine="0"/>
    </w:pPr>
    <w:rPr>
      <w:rFonts w:ascii="Times New Roman" w:hAnsi="Times New Roman" w:eastAsia="Times New Roman" w:cs="Times New Roman"/>
      <w:b w:val="0"/>
      <w:i w:val="0"/>
      <w:color w:val="000000"/>
      <w:sz w:val="24"/>
      <w:u w:val="none"/>
    </w:rPr>
  </w:style>
  <w:style w:type="paragraph" w:customStyle="1" w:styleId="GOSTCaption">
    <w:name w:val="GOST Caption"/>
    <w:pPr>
      <w:spacing w:before="0" w:after="0" w:line="240" w:lineRule="auto"/>
      <w:ind w:firstLine="0"/>
      <w:jc w:val="center"/>
    </w:pPr>
    <w:rPr>
      <w:rFonts w:ascii="Times New Roman" w:hAnsi="Times New Roman" w:eastAsia="Times New Roman" w:cs="Times New Roman"/>
      <w:b w:val="0"/>
      <w:i w:val="0"/>
      <w:color w:val="000000"/>
      <w:sz w:val="24"/>
      <w:u w:val="none"/>
    </w:rPr>
  </w:style>
  <w:style w:type="paragraph" w:customStyle="1" w:styleId="GOSTFigureSource">
    <w:name w:val="GOST Figure Source"/>
    <w:pPr>
      <w:spacing w:before="0" w:after="0" w:line="240" w:lineRule="auto"/>
      <w:ind w:firstLine="0"/>
      <w:jc w:val="center"/>
    </w:pPr>
    <w:rPr>
      <w:rFonts w:ascii="Times New Roman" w:hAnsi="Times New Roman" w:eastAsia="Times New Roman" w:cs="Times New Roman"/>
      <w:b w:val="0"/>
      <w:i w:val="0"/>
      <w:color w:val="000000"/>
      <w:sz w:val="24"/>
      <w:u w:val="none"/>
    </w:rPr>
  </w:style>
  <w:style w:type="paragraph" w:customStyle="1" w:styleId="GOSTFigureReference">
    <w:name w:val="GOST Figure Reference"/>
    <w:pPr>
      <w:keepNext/>
      <w:spacing w:before="0" w:after="0" w:line="360" w:lineRule="auto"/>
      <w:ind w:firstLine="709"/>
      <w:jc w:val="both"/>
    </w:pPr>
    <w:rPr>
      <w:rFonts w:ascii="Times New Roman" w:hAnsi="Times New Roman" w:eastAsia="Times New Roman" w:cs="Times New Roman"/>
      <w:b w:val="0"/>
      <w:i w:val="0"/>
      <w:color w:val="000000"/>
      <w:sz w:val="28"/>
      <w:u w:val="none"/>
    </w:rPr>
  </w:style>
  <w:style w:type="paragraph" w:customStyle="1" w:styleId="GOSTTableCaption">
    <w:name w:val="GOST Table Caption"/>
    <w:pPr>
      <w:keepNext/>
      <w:spacing w:before="0" w:after="0" w:line="240" w:lineRule="auto"/>
      <w:ind w:firstLine="0"/>
      <w:jc w:val="left"/>
    </w:pPr>
    <w:rPr>
      <w:rFonts w:ascii="Times New Roman" w:hAnsi="Times New Roman" w:eastAsia="Times New Roman" w:cs="Times New Roman"/>
      <w:b w:val="0"/>
      <w:i w:val="0"/>
      <w:color w:val="000000"/>
      <w:sz w:val="24"/>
      <w:u w:val="none"/>
    </w:rPr>
  </w:style>
  <w:style w:type="paragraph" w:customStyle="1" w:styleId="GOSTTableReference">
    <w:name w:val="GOST Table Reference"/>
    <w:pPr>
      <w:keepNext/>
      <w:spacing w:before="0" w:after="0" w:line="360" w:lineRule="auto"/>
      <w:ind w:firstLine="709"/>
      <w:jc w:val="both"/>
    </w:pPr>
    <w:rPr>
      <w:rFonts w:ascii="Times New Roman" w:hAnsi="Times New Roman" w:eastAsia="Times New Roman" w:cs="Times New Roman"/>
      <w:b w:val="0"/>
      <w:i w:val="0"/>
      <w:color w:val="000000"/>
      <w:sz w:val="28"/>
      <w:u w:val="none"/>
    </w:rPr>
  </w:style>
  <w:style w:type="paragraph" w:customStyle="1" w:styleId="GOSTCoverMetadata">
    <w:name w:val="GOST Cover Metadata"/>
    <w:pPr>
      <w:spacing w:before="0" w:after="120" w:line="360" w:lineRule="auto"/>
      <w:ind w:firstLine="0"/>
      <w:jc w:val="center"/>
    </w:pPr>
    <w:rPr>
      <w:rFonts w:ascii="Times New Roman" w:hAnsi="Times New Roman" w:eastAsia="Times New Roman" w:cs="Times New Roman"/>
      <w:b w:val="0"/>
      <w:i w:val="0"/>
      <w:color w:val="000000"/>
      <w:sz w:val="28"/>
      <w:u w:val="none"/>
    </w:rPr>
  </w:style>
  <w:style w:type="paragraph" w:customStyle="1" w:styleId="GOSTNavigation">
    <w:name w:val="GOST Navigation"/>
    <w:pPr>
      <w:spacing w:before="0" w:after="60" w:line="240" w:lineRule="auto"/>
      <w:ind w:firstLine="0"/>
    </w:pPr>
    <w:rPr>
      <w:rFonts w:ascii="Times New Roman" w:hAnsi="Times New Roman" w:eastAsia="Times New Roman" w:cs="Times New Roman"/>
      <w:b w:val="0"/>
      <w:i w:val="0"/>
      <w:color w:val="000000"/>
      <w:sz w:val="28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hyperlink" Target="../contracts/openapi.yaml" TargetMode="External"/><Relationship Id="rId12" Type="http://schemas.openxmlformats.org/officeDocument/2006/relationships/hyperlink" Target="api-examples.http" TargetMode="External"/><Relationship Id="rId13" Type="http://schemas.openxmlformats.org/officeDocument/2006/relationships/hyperlink" Target="../README.md" TargetMode="External"/><Relationship Id="rId14" Type="http://schemas.openxmlformats.org/officeDocument/2006/relationships/hyperlink" Target="https://github.com/punkpsyh-hash/Fsp/blob/main/docs/44-deployment-and-operations.md" TargetMode="External"/><Relationship Id="rId15" Type="http://schemas.openxmlformats.org/officeDocument/2006/relationships/hyperlink" Target="https://github.com/punkpsyh-hash/Fsp/blob/main/docs/50-completion-conformance.md" TargetMode="External"/><Relationship Id="rId16" Type="http://schemas.openxmlformats.org/officeDocument/2006/relationships/hyperlink" Target="../requirements/examples/README.md" TargetMode="External"/><Relationship Id="rId17" Type="http://schemas.openxmlformats.org/officeDocument/2006/relationships/hyperlink" Target="https://github.com/punkpsyh-hash/Fsp/blob/main/docs/48-release-acceptance.md" TargetMode="External"/><Relationship Id="rId18" Type="http://schemas.openxmlformats.org/officeDocument/2006/relationships/hyperlink" Target="https://github.com/punkpsyh-hash/Fsp/blob/main/docs/45-ai-answer-check-and-training-package.md" TargetMode="External"/><Relationship Id="rId19" Type="http://schemas.openxmlformats.org/officeDocument/2006/relationships/image" Target="media/image1.png"/><Relationship Id="rId2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Практическое руководство по локальному API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