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b/>
          <w:color w:val="000000"/>
          <w:sz w:val="28"/>
          <w:u w:val="none"/>
        </w:rPr>
        <w:t>Технический отчёт текущей реализации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Дата редакции: 11 октября 2026 года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Статус: редактируемый комплект сопроводительных материалов проекта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Содержание включает текущие и исторические документы; исходные даты и статусы сохранены.</w:t>
      </w:r>
    </w:p>
    <w:p>
      <w:pPr>
        <w:sectPr>
          <w:footerReference w:type="default" r:id="rId9"/>
          <w:headerReference w:type="default" r:id="rId20"/>
          <w:pgSz w:w="11906" w:h="16838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</w:pPr>
      <w:bookmarkStart w:id="1" w:name="doc_56"/>
      <w:r>
        <w:rPr>
          <w:rFonts w:ascii="Times New Roman" w:hAnsi="Times New Roman" w:eastAsia="Times New Roman" w:cs="Times New Roman"/>
          <w:color w:val="000000"/>
          <w:u w:val="none"/>
        </w:rPr>
        <w:t>56. Технический отчёт по системе «ФСП · Карьерный профиль»</w:t>
      </w:r>
      <w:bookmarkEnd w:id="1"/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Дата редакции: 11 октября 2026 года. Отчёт описывает конкурсный локальный продукт на синтетических данных и доказательства, полученные для принятого среза </w:t>
      </w:r>
      <w:r>
        <w:rPr>
          <w:rFonts w:ascii="Times New Roman" w:hAnsi="Times New Roman" w:eastAsia="Times New Roman" w:cs="Times New Roman"/>
          <w:color w:val="000000"/>
          <w:u w:val="none"/>
        </w:rPr>
        <w:t>58105a25a921f80a46a736b32847a36bc025740e</w:t>
      </w:r>
      <w:r>
        <w:rPr>
          <w:rFonts w:ascii="Times New Roman" w:hAnsi="Times New Roman" w:eastAsia="Times New Roman" w:cs="Times New Roman"/>
          <w:color w:val="000000"/>
          <w:u w:val="none"/>
        </w:rPr>
        <w:t>. Текущая рабочая редакция документа не изменяет серверные правила этого среза.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Назначение, источники и границы отчёта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Система решает задачу обратного подбора ИТ-специалистов: кандидат подтверждает категорию тестом и публикует профиль, а работодатель описывает потребность, получает объяснимую подборку и направляет персональное предложение с диапазоном заработной платы. Контакт открывается конкретной компании после принятия приглашения либо после самостоятельного отклика кандидата.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Основание реализации — первичное </w:t>
      </w:r>
      <w:hyperlink r:id="rId1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техническое задание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полученное 6 октября 2026 года, и </w:t>
      </w:r>
      <w:hyperlink r:id="rId12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17 письменных ответов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полученных 8 октября без персональных данных участников. Актуальная матрица требований приведена в </w:t>
      </w:r>
      <w:hyperlink r:id="rId13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docs/50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полный протокол принятого выпуска — в </w:t>
      </w:r>
      <w:hyperlink r:id="rId14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docs/48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инструкция нового стенда и её отдельная проверка — в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docs/53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hyperlink r:id="rId16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docs/54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Термин «подтверждённый грейд» означает уровень навыков, подтверждённый тестом, а не стаж работы. Пороги Junior/Middle, веса ранжирования, интервалы смены грейда и полоса повторной проверки являются решениями команды в пределах ТЗ. Синтетические проверки подтверждают работу этих правил в системе, но не психометрическую калибровку профессиональных уровней и не качество реального найма.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Компонентная архитектура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Архитектура разделена на веб-клиент, прикладной API, реляционное хранилище, изолированный исполнитель практических заданий и необязательный сервер языковой модели. Такое разделение сохраняет единый продуктовый контур и одновременно не передаёт исполнение пользовательского кода основному API.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 — Компонентная архитектура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Компонент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Технология и роль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Граница ответственности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Web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React 19.3, TypeScript 7.0, Vite 8.3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Два ролевых кабинета, формы, очередь событий оценки, просмотр результатов и приглашений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API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FastAPI 0.142, Pydantic 2.13, SQLAlchemy 2.0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Аутентификация, роли, профили, тестирование, подбор, предложения, сообщения и контракты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Хранилище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PostgreSQL 16, Alembic; SQLite для облегчённых проверок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Пользователи, профили, попытки, согласия, вакансии, приглашения, банки заданий и аудит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Runner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Одноразовая Linux VM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Запуск Python, JavaScript и SQLite без переноса пользовательского кода в API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LLM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OpenAI-совместимый внутренний сервис, опционально Qwen3-4B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Только черновики заданий, объяснения и рекомендательная подсказка автору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Почта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SMTP с TLS либо локальный демонстрационный ящик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Доставка одноразового кода; внешняя SMTP-доставка требует настройки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>Frontend и backend собираются в контейнеры. Миграции применяются перед запуском API, а исходные синтетические записи добавляются идемпотентно. Основной стенд публикует интерфейс и API только на loopback. Сервис runner доступен API по внутренней сети; Docker socket, каталог проекта и произвольные файлы хоста ему не передаются.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Данные, роли и API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Система различает кандидата и работодателя. Запросы к изменяющим операциям требуют действующей HttpOnly-сессии и CSRF-токена; доменные операции проверяют роль и владельца записи. Версионированные согласия отделяют обработку профиля от его публикации. Публичная проекция кандидата не содержит контакта, а работодатель не может получить неопубликованный либо чужой объект через другой маршрут API.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Контракт проекта генерируется из кода и описывает 87 путей и 100 операций. Для принятого среза проверено равенство live-контракта и сохранённого OpenAPI, 71 автономный HTTP-пример и 34 JSON-тела по схемам. Это локальный API продукта, а не официальный API ФСП. Реальный контракт достижений ФСП отсутствует; вместо него реализован демонстрационный реестр состояний </w:t>
      </w:r>
      <w:r>
        <w:rPr>
          <w:rFonts w:ascii="Times New Roman" w:hAnsi="Times New Roman" w:eastAsia="Times New Roman" w:cs="Times New Roman"/>
          <w:color w:val="000000"/>
          <w:u w:val="none"/>
        </w:rPr>
        <w:t>none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linked-empty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verified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unavailable</w:t>
      </w:r>
      <w:r>
        <w:rPr>
          <w:rFonts w:ascii="Times New Roman" w:hAnsi="Times New Roman" w:eastAsia="Times New Roman" w:cs="Times New Roman"/>
          <w:color w:val="000000"/>
          <w:u w:val="none"/>
        </w:rPr>
        <w:t>, а вход имитирует OIDC-подобный code flow с PKCE.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Отсутствие истории ФСП не блокирует профиль. Спортивные достижения дают только ограниченный бонус внутри уже подтверждённой категории, как уточнено в ответе E08. Они не заменяют тест и не меняют специализацию или грейд.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4. Механика тестирования и присвоения категории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Категория определяется связкой специализации и подтверждённого грейда. В текущем справочнике есть Backend, Frontend, QA и Design, для каждого направления — Junior и Middle. Первичный blueprint един для категории, но конкретная форма строится из параметризованных семейств и серверного seed. Сервер хранит снимок выданной формы и закрытые ключи. Публичный </w:t>
      </w:r>
      <w:r>
        <w:rPr>
          <w:rFonts w:ascii="Times New Roman" w:hAnsi="Times New Roman" w:eastAsia="Times New Roman" w:cs="Times New Roman"/>
          <w:color w:val="000000"/>
          <w:u w:val="none"/>
        </w:rPr>
        <w:t>QuestionView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только 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options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skill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title</w:t>
      </w:r>
      <w:r>
        <w:rPr>
          <w:rFonts w:ascii="Times New Roman" w:hAnsi="Times New Roman" w:eastAsia="Times New Roman" w:cs="Times New Roman"/>
          <w:color w:val="000000"/>
          <w:u w:val="none"/>
        </w:rPr>
        <w:t>, поэтому объяснение, тема, эталон и параметры семейства до завершения попытки не раскрываются.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Форма версии </w:t>
      </w:r>
      <w:r>
        <w:rPr>
          <w:rFonts w:ascii="Times New Roman" w:hAnsi="Times New Roman" w:eastAsia="Times New Roman" w:cs="Times New Roman"/>
          <w:color w:val="000000"/>
          <w:u w:val="none"/>
        </w:rPr>
        <w:t>scenarios-v6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включает 12 заданий по трём навыкам. Результат вычисляется сервером; пороги команды составляют 70 для Junior и 80 для Middle. При результате в полосе ±6 баллов назначается вторая форма, итог строится по двум этапам. Неуспешная попытка не понижает ранее подтверждённый грейд. Повышение ограничено интервалом 90 суток; после повторного результата со статусом integrity hold следующая такая проверка закрывается на 14 суток.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Сигналы целостности фиксируют темп ответа, массовую сдачу, копирование, сочетания клавиш, уход со страницы, переполнение бюджета событий и heartbeat. Перед submit клиент ожидает отправку очереди событий, а сервер принимает решение по собственному времени. Это защитные эвристики и основание для повторной проверки, а не удалённый прокторинг и не обещание полной защиты от списывания.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Актуальная синтетическая диагностика построила 800 основных и 800 подтверждающих форм: 19 200 вопросов и 32 000 переносов ответов. Было четыре сырых прохода перенесённых ответов, но ни одного немедленного или итогового подтверждения после policy; потребовалось 18 вторых форм. Такой результат проверяет заданную механику против конкретного корпуса и программного oracle. Он не доказывает независимую сложность заданий на людях.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5. Подбор и объяснение результата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Подбор начинается с жёстких условий. В выдачу допускается только опубликованный профиль с нужными специализацией и подтверждённым грейдом, всеми обязательными навыками, совместимым форматом работы и минимальной зарплатой не выше бюджета. Эти ограничения не компенсируются высоким суммарным баллом.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Для прошедших фильтры кандидатов вычисляется объяснимый балл: до 45 пунктов за результат оценки, до 35 за пересечение требуемых и желательных навыков, до 10 за подтверждённый сигнал ФСП и до 10 за актуальность. Ответ API содержит совпавшие и отсутствующие навыки и компоненты балла. Сохранённый snapshot подборки не меняется задним числом при редактировании нового запроса.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Эта формула — продуктовая политика, проверенная на синтетических парах и эталонах. Она не является обученной моделью рынка труда. Практические задания работодателя могут добавить свежий evidence по навыкам и актуальности, но не переводят кандидата в другой глобальный грейд и не обходят жёсткие фильтры.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6. Контакт, согласия и приватность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 публичном поиске используется псевдоним, а контакт хранится отдельно от публичного профиля. Приглашение включает компанию, описание, зарплату от и до, признак gross/net, валюту RUB и, при необходимости, ссылку на вакансию. После принятия создаётся адресный grant только компании-отправителю. Аналогичный grant возникает при самостоятельном отклике; отказ, отзыв или withdraw снова скрывает контакт. Проверка выполняется при каждом чтении API и при экспорте PDF, а не только в интерфейсе.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Экран управления этой границей показан на рисунке 1. Он использует синтетические записи и иллюстрирует пользовательский контроль, а не обработку реальных персональных данных.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1" name="privacy" descr="Настройки доступности профиля и контак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c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1 — Настройки доступности профиля и контактов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Пароли хешируются PBKDF2, одноразовые коды истекают и применяются один раз, вход ограничивается по частоте. В контейнерах используются </w:t>
      </w:r>
      <w:r>
        <w:rPr>
          <w:rFonts w:ascii="Times New Roman" w:hAnsi="Times New Roman" w:eastAsia="Times New Roman" w:cs="Times New Roman"/>
          <w:color w:val="000000"/>
          <w:u w:val="none"/>
        </w:rPr>
        <w:t>read_only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tmpfs, drop всех capabilities и </w:t>
      </w:r>
      <w:r>
        <w:rPr>
          <w:rFonts w:ascii="Times New Roman" w:hAnsi="Times New Roman" w:eastAsia="Times New Roman" w:cs="Times New Roman"/>
          <w:color w:val="000000"/>
          <w:u w:val="none"/>
        </w:rPr>
        <w:t>no-new-privileges</w:t>
      </w:r>
      <w:r>
        <w:rPr>
          <w:rFonts w:ascii="Times New Roman" w:hAnsi="Times New Roman" w:eastAsia="Times New Roman" w:cs="Times New Roman"/>
          <w:color w:val="000000"/>
          <w:u w:val="none"/>
        </w:rPr>
        <w:t>. Эти меры и отрицательные сценарии ролей и владельцев проверены, однако полноценная промышленная приёмка по 152-ФЗ, внешний аудит инфраструктуры и модель угроз оператора не проводились.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7. Банки и безопасное исполнение практических заданий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Работодатель может создать банк вручную, импортировать CSV/JSON или запросить ИИ-черновик. Поддержаны single choice, multiple choice, numeric и open response. Перед публикацией сервер требует непротиворечивую структуру: уникальные нормализованные варианты, один верный вариант для single choice, от двух до </w:t>
      </w:r>
      <w:r>
        <w:rPr>
          <w:rFonts w:ascii="Times New Roman" w:hAnsi="Times New Roman" w:eastAsia="Times New Roman" w:cs="Times New Roman"/>
          <w:color w:val="000000"/>
          <w:u w:val="none"/>
        </w:rPr>
        <w:t>n−1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верных для multiple choice и рубрику с уровнями 0, частичный результат и 100 для открытого ответа. Неоднозначный материал можно сохранить как draft, но нельзя опубликовать.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Конструктор и состояние банка показаны на рисунке 2. Изображение фиксирует живой интерфейс синтетического стенда; корректность содержания конкретного задания определяется правилами публикации и просмотром автора.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2" name="question-bank" descr="Конструктор и версии практических набор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-ban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2 — Конструктор и версии практических наборов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Практические Python, JavaScript и SQLite-задания отправляются брокеру runner. Каждый запуск создаёт одноразовую VM без сети. Ограничиваются процессорное время, память, число процессов и длительность; основной API не выполняет код через обычный subprocess и не получает Docker socket. При KVM VM стартует быстрее, при отсутствии </w:t>
      </w:r>
      <w:r>
        <w:rPr>
          <w:rFonts w:ascii="Times New Roman" w:hAnsi="Times New Roman" w:eastAsia="Times New Roman" w:cs="Times New Roman"/>
          <w:color w:val="000000"/>
          <w:u w:val="none"/>
        </w:rPr>
        <w:t>/dev/kvm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используется TCG, но граница VM сохраняется.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Путь кандидата к практике показан на рисунке 3. Результат задачи остаётся evidence конкретной практики и не повышает подтверждённый тестом глобальный грейд.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3" name="practice" descr="Практические наборы в кабинете кандида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3 — Практические наборы в кабинете кандидата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 текущей приёмке runner прошёл 28 из 28 проверок в TCG. На NAS реальный KVM smoke завершил 6 из 6 сценариев; медиана загрузки составила 4 397 мс, максимум — 5 107 мс. Контрольный конкурсный банк принял три эталонных решения и отклонил три типовых мутанта скрытыми случаями. Эти результаты проверяют конкретные образы и задания, а не безопасность любого произвольного кода.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8. ИИ-контур и обязательная ручная проверка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Базовый продукт работает с </w:t>
      </w:r>
      <w:r>
        <w:rPr>
          <w:rFonts w:ascii="Times New Roman" w:hAnsi="Times New Roman" w:eastAsia="Times New Roman" w:cs="Times New Roman"/>
          <w:color w:val="000000"/>
          <w:u w:val="none"/>
        </w:rPr>
        <w:t>FSP_LLM_PROVIDER=none</w:t>
      </w:r>
      <w:r>
        <w:rPr>
          <w:rFonts w:ascii="Times New Roman" w:hAnsi="Times New Roman" w:eastAsia="Times New Roman" w:cs="Times New Roman"/>
          <w:color w:val="000000"/>
          <w:u w:val="none"/>
        </w:rPr>
        <w:t>. Необязательный контур поддерживает OpenAI-совместимый API со строгим JSON Schema. Принята открытая Qwen3-4B-Instruct-2507 в NF4 без LoRA: адаптеры v1/v2 были проверены и отклонены, поскольку хуже решали новые вычислимые задания. Модель и revision закреплены, файлы весов сверяются по SHA-256 и не хранятся в Git.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Модель создаёт только приватный черновик с </w:t>
      </w:r>
      <w:r>
        <w:rPr>
          <w:rFonts w:ascii="Times New Roman" w:hAnsi="Times New Roman" w:eastAsia="Times New Roman" w:cs="Times New Roman"/>
          <w:color w:val="000000"/>
          <w:u w:val="none"/>
        </w:rPr>
        <w:t>review_required=true</w:t>
      </w:r>
      <w:r>
        <w:rPr>
          <w:rFonts w:ascii="Times New Roman" w:hAnsi="Times New Roman" w:eastAsia="Times New Roman" w:cs="Times New Roman"/>
          <w:color w:val="000000"/>
          <w:u w:val="none"/>
        </w:rPr>
        <w:t>. Сервер проверяет структуру и собирает варианты, а автор проверяет условие, эталон, варианты и рубрику до публикации. Для открытого ответа ИИ может предложить оценку и обратную связь, но работодатель принимает окончательное решение. Подсказка не меняет профиль, навыки и грейд.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Живой NAS→GPU прогон подтвердил четыре типа генерации, сохранение и публикацию, ответ кандидата и ручное завершение. При этом модель предложила 65 баллов за ответ, которому автор после проверки поставил 100, и пропустила уже описанный аспект решения. В рубрике также осталась опечатка. Поэтому результат подтверждает работу runtime-контракта, но одновременно показывает, почему автоматическое решение о квалификации запрещено.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9. Сборка и развёртывание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Проверяющий выбирает один из трёх режимов: базовый стенд без ИИ, полный стенд с локальной Qwen на NVIDIA GPU либо собственный OpenAI-совместимый сервер. Во всех режимах Python, Node и PostgreSQL находятся внутри контейнеров. Штатный цикл выполняют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./scripts/run.sh 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интерфейс доступен на </w:t>
      </w:r>
      <w:r>
        <w:rPr>
          <w:rFonts w:ascii="Times New Roman" w:hAnsi="Times New Roman" w:eastAsia="Times New Roman" w:cs="Times New Roman"/>
          <w:color w:val="000000"/>
          <w:u w:val="none"/>
        </w:rPr>
        <w:t>http://127.0.0.1:8470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документация API — на </w:t>
      </w:r>
      <w:r>
        <w:rPr>
          <w:rFonts w:ascii="Times New Roman" w:hAnsi="Times New Roman" w:eastAsia="Times New Roman" w:cs="Times New Roman"/>
          <w:color w:val="000000"/>
          <w:u w:val="none"/>
        </w:rPr>
        <w:t>/api/docs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Для базового режима рекомендованы 4 CPU, 8 ГБ RAM и 15 ГБ диска. Для проверенного GPU-режима — NVIDIA с 8 ГБ VRAM, 24 ГБ RAM и 40 ГБ диска; измерения выполнены на RTX 4070 Laptop 8 ГБ. Значение 6 ГБ VRAM является нижней границей конфигурации, а не гарантией для любой видеокарты. Apple Silicon и AMD GPU как полный локальный режим выпуска не проверены.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Собственная модель загружается из закреплённого официального revision. Загрузчик сначала пишет </w:t>
      </w:r>
      <w:r>
        <w:rPr>
          <w:rFonts w:ascii="Times New Roman" w:hAnsi="Times New Roman" w:eastAsia="Times New Roman" w:cs="Times New Roman"/>
          <w:color w:val="000000"/>
          <w:u w:val="none"/>
        </w:rPr>
        <w:t>.part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затем проверяет SHA-256 и только после успеха заменяет целевой файл. Offline-проверка отклоняет пропуски, лишние файлы, ссылки и небезопасные пути. Секреты создаются локально и не перезаписываются повторным </w:t>
      </w:r>
      <w:r>
        <w:rPr>
          <w:rFonts w:ascii="Times New Roman" w:hAnsi="Times New Roman" w:eastAsia="Times New Roman" w:cs="Times New Roman"/>
          <w:color w:val="000000"/>
          <w:u w:val="none"/>
        </w:rPr>
        <w:t>init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10. Проверка принятого среза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Главные результаты 11 октября 2026 года относятся к принятому срезу </w:t>
      </w:r>
      <w:r>
        <w:rPr>
          <w:rFonts w:ascii="Times New Roman" w:hAnsi="Times New Roman" w:eastAsia="Times New Roman" w:cs="Times New Roman"/>
          <w:color w:val="000000"/>
          <w:u w:val="none"/>
        </w:rPr>
        <w:t>58105a2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его указанным runtime-образам.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 — Проверка принятого среза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Область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Результат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Что результат не означает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SQLite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410 passed, 2 skipped, 6 подтестов, exit 0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заменяет PostgreSQL-конкурентность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PostgreSQL 16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411 passed, 1 skipped, 6 подтестов, exit 0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является нагрузочным аудитом промышленного стенда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Браузеры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132/132: по 44 Chromium, Firefox и WebKit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проверяет все мобильные устройства и вспомогательные технологии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API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87 путей, 100 операций; контракт совпал с работающим API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Автономные примеры не равны вызову каждой операции в промышленном стенде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VM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TCG 28/28; NAS KVM 6/6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доказывает абсолютную изоляцию любого гипервизора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LLM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4/4 типа сгенерированы в живом контуре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подтверждает безошибочность смысла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Прежние показатели 10 октября — 363/364 теста и 126 браузерных сценариев — остаются историческим срезом и не прибавляются к текущим числам. Доработка самостоятельного развёртывания из </w:t>
      </w:r>
      <w:hyperlink r:id="rId16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docs/54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прошла отдельные 69 целевых тестов и TCG smoke 6/6. Это проверка установки, download и ready-check поверх принятого продукта, а не новый полный прогон 410/411/132. Полный холодный GPU Compose на этом этапе не повторялся, чтобы не останавливать действующий приватный стенд.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11. Существенные ограничения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Все данные демонстрации синтетические; пилот с людьми и независимая экспертная разметка не проведены.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Пороги Junior/Middle, test-retest и ranking проверены программно, но не психометрически калиброваны на репрезентативной выборке специалистов.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Реального зарегистрированного клиента ФСП ID и официального API достижений нет; текущий реестр — mock с явно обозначенными состояниями.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Integrity-сигналы не являются прокторингом и не гарантируют предотвращение списывания.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Локальная Qwen и любой внешний провайдер требуют ручной проверки результата; сторонние OpenAI-совместимые серверы не сертифицированы.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ATS и защита от фиктивных компаний описаны как направления интеграции, но промышленная синхронизация и внешний источник доверия не реализованы.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Полный стенд работает локально; временный парольный показ жюри описан в разделе 12. Проектная лицензия и эксплуатационная приёмка с реальными ПДн остаются отдельными решениями.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12. Правовые условия и временный домен — дополнение 11 октября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 новому поручению владельца подготовлен отдельный jury-контур на NAS: парольные синтетические аккаунты, собственная база, HTTPS-прокси Caddy, закрытые служебные маршруты, host/origin allowlist и Secure cookie. Домен </w:t>
      </w:r>
      <w:r>
        <w:rPr>
          <w:rFonts w:ascii="Times New Roman" w:hAnsi="Times New Roman" w:eastAsia="Times New Roman" w:cs="Times New Roman"/>
          <w:color w:val="000000"/>
          <w:u w:val="none"/>
        </w:rPr>
        <w:t>fsptest.kolesnikovny.ru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опубликован через российский VPS ru2 и reverse SSH до NAS; внешняя проверка TLS и 22 HTTP-шагов прошла 11 октября. NAS находится в России по подтверждению владельца. Политика указывает Колесникова Никиту Юрьевича и inbox@nkolesnikov.ru. Системный nginx NAS не менялся. Изоляция VM на новом стенде прошла 28 проверок; независимая браузерная проверка jury UI — 9/9 на трёх движках, локальный режим — 3/3.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Внешняя почта теперь требует явного включения SMTP; прямой адаптер принимает только синтетические адреса и проверяет TLS. Исходный jury-режим отключал регистрацию, email-коды, mock-почту, вход по demo-ID, ФСП ID mock и импорт PDF. Полный локальный режим и видео сохраняют исходный путь регистрации по ТЗ. Опубликованные правила подбора используют реальную формулу 45/35/10/10. Подготовлены правовые страницы, инвентаризация 43 Python-пакетов и трёх веб-компонентов с копиями лицензий; модель остаётся отдельной закреплённой загрузкой Apache-2.0. В текущем v3 регистрация включена; инструкции — docs/60–61.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Новые проверки этого дополнения фиксируются отдельно в </w:t>
      </w:r>
      <w:r>
        <w:rPr>
          <w:rFonts w:ascii="Times New Roman" w:hAnsi="Times New Roman" w:eastAsia="Times New Roman" w:cs="Times New Roman"/>
          <w:color w:val="000000"/>
          <w:u w:val="none"/>
        </w:rPr>
        <w:t>docs/release/2026-10-11-legal-submission/</w:t>
      </w:r>
      <w:r>
        <w:rPr>
          <w:rFonts w:ascii="Times New Roman" w:hAnsi="Times New Roman" w:eastAsia="Times New Roman" w:cs="Times New Roman"/>
          <w:color w:val="000000"/>
          <w:u w:val="none"/>
        </w:rPr>
        <w:t>; ранее приведённые результаты 410/411/132 относятся к базовому выпуску и не суммируются с новым прогоном.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13. Вывод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Реализация закрывает обязательный сквозной путь: регистрация, профиль, тестирование, подтверждённая категория, объяснимый поиск, персональное приглашение и контролируемое открытие контакта. Технический центр решения — серверные правила и проверяемые границы: закрытые ключи теста, жёсткие фильтры, адресные grants, VM-runner и ручное подтверждение ИИ-материалов. Опубликованные протоколы показывают воспроизводимость конкретного конкурсного среза. Дальнейший переход к реальной эксплуатации требует данных и соглашений ФСП, человеческой калибровки оценивания, промышленного аудита безопасности и отдельной приёмки инфраструктуры оператора.</w:t>
      </w: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567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4"/>
        <w:u w:val="none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../requirements/&#1060;&#1057;&#1055;%20&#1089;&#1087;&#1077;&#1094;.%20&#1090;&#1088;&#1077;&#1082;%20&#1058;&#1047;.pdf" TargetMode="External"/><Relationship Id="rId12" Type="http://schemas.openxmlformats.org/officeDocument/2006/relationships/hyperlink" Target="../requirements/qa-written-fsp-2026.md" TargetMode="External"/><Relationship Id="rId13" Type="http://schemas.openxmlformats.org/officeDocument/2006/relationships/hyperlink" Target="50-completion-conformance.md" TargetMode="External"/><Relationship Id="rId14" Type="http://schemas.openxmlformats.org/officeDocument/2006/relationships/hyperlink" Target="48-release-acceptance.md" TargetMode="External"/><Relationship Id="rId15" Type="http://schemas.openxmlformats.org/officeDocument/2006/relationships/hyperlink" Target="53-self-deployment.md" TargetMode="External"/><Relationship Id="rId16" Type="http://schemas.openxmlformats.org/officeDocument/2006/relationships/hyperlink" Target="54-self-deployment-acceptance.md" TargetMode="External"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Технический отчёт текущей реализации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