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Times New Roman" w:cs="Times New Roman"/>
          <w:b/>
          <w:color w:val="000000"/>
          <w:sz w:val="28"/>
          <w:u w:val="none"/>
        </w:rPr>
        <w:t>Технический отчёт текущей реализации</w:t>
      </w:r>
    </w:p>
    <w:p>
      <w:pPr>
        <w:pStyle w:val="GOSTCoverMetadata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>Дата редакции: 11 октября 2026 года</w:t>
      </w:r>
    </w:p>
    <w:p>
      <w:pPr>
        <w:pStyle w:val="GOSTCoverMetadata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>Статус: редактируемый комплект сопроводительных материалов проекта</w:t>
      </w:r>
    </w:p>
    <w:p>
      <w:pPr>
        <w:pStyle w:val="GOSTCoverMetadata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>Содержание включает текущие и исторические документы; исходные даты и статусы сохранены.</w:t>
      </w:r>
    </w:p>
    <w:p>
      <w:pPr>
        <w:sectPr>
          <w:footerReference w:type="default" r:id="rId9"/>
          <w:headerReference w:type="default" r:id="rId20"/>
          <w:pgSz w:w="11906" w:h="16838"/>
          <w:pgMar w:top="1134" w:right="850" w:bottom="1134" w:left="1701" w:header="720" w:footer="567" w:gutter="0"/>
          <w:cols w:space="720"/>
          <w:docGrid w:linePitch="360"/>
        </w:sectPr>
      </w:pPr>
    </w:p>
    <w:p>
      <w:pPr>
        <w:pStyle w:val="Heading1"/>
      </w:pPr>
      <w:bookmarkStart w:id="1" w:name="doc_56"/>
      <w:r>
        <w:rPr>
          <w:rFonts w:ascii="Times New Roman" w:hAnsi="Times New Roman" w:eastAsia="Times New Roman" w:cs="Times New Roman"/>
          <w:color w:val="000000"/>
          <w:u w:val="none"/>
        </w:rPr>
        <w:t>56. Технический отчёт по системе «ФСП · Карьерный профиль»</w:t>
      </w:r>
      <w:bookmarkEnd w:id="1"/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Дата редакции: 11 октября 2026 года. Отчёт описывает конкурсный локальный продукт на синтетических данных и доказательства, полученные для принятого среза </w:t>
      </w:r>
      <w:r>
        <w:rPr>
          <w:rFonts w:ascii="Times New Roman" w:hAnsi="Times New Roman" w:eastAsia="Times New Roman" w:cs="Times New Roman"/>
          <w:color w:val="000000"/>
          <w:u w:val="none"/>
        </w:rPr>
        <w:t>58105a25a921f80a46a736b32847a36bc025740e</w:t>
      </w:r>
      <w:r>
        <w:rPr>
          <w:rFonts w:ascii="Times New Roman" w:hAnsi="Times New Roman" w:eastAsia="Times New Roman" w:cs="Times New Roman"/>
          <w:color w:val="000000"/>
          <w:u w:val="none"/>
        </w:rPr>
        <w:t>. Текущая рабочая редакция документа не изменяет серверные правила этого среза.</w:t>
      </w:r>
    </w:p>
    <w:p>
      <w:pPr>
        <w:pStyle w:val="Heading2"/>
      </w:pPr>
      <w:r>
        <w:rPr>
          <w:rFonts w:ascii="Times New Roman" w:hAnsi="Times New Roman" w:eastAsia="Times New Roman" w:cs="Times New Roman"/>
          <w:color w:val="000000"/>
          <w:u w:val="none"/>
        </w:rPr>
        <w:t>1. Назначение, источники и границы отчёта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>Система решает задачу обратного подбора ИТ-специалистов: кандидат подтверждает категорию тестом и публикует профиль, а работодатель описывает потребность, получает объяснимую подборку и направляет персональное предложение с диапазоном заработной платы. Контакт открывается конкретной компании после принятия приглашения либо после самостоятельного отклика кандидата.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Основание реализации — первичное </w:t>
      </w:r>
      <w:hyperlink r:id="rId11">
        <w:r>
          <w:rPr>
            <w:rFonts w:ascii="Times New Roman" w:hAnsi="Times New Roman" w:eastAsia="Times New Roman" w:cs="Times New Roman"/>
            <w:color w:val="000000"/>
            <w:u w:val="none"/>
          </w:rPr>
          <w:t xml:space="preserve">техническое задание</w:t>
        </w:r>
      </w:hyperlink>
      <w:r>
        <w:rPr>
          <w:rFonts w:ascii="Times New Roman" w:hAnsi="Times New Roman" w:eastAsia="Times New Roman" w:cs="Times New Roman"/>
          <w:color w:val="000000"/>
          <w:u w:val="none"/>
        </w:rPr>
        <w:t xml:space="preserve">, полученное 6 октября 2026 года, и </w:t>
      </w:r>
      <w:hyperlink r:id="rId12">
        <w:r>
          <w:rPr>
            <w:rFonts w:ascii="Times New Roman" w:hAnsi="Times New Roman" w:eastAsia="Times New Roman" w:cs="Times New Roman"/>
            <w:color w:val="000000"/>
            <w:u w:val="none"/>
          </w:rPr>
          <w:t xml:space="preserve">17 письменных ответов</w:t>
        </w:r>
      </w:hyperlink>
      <w:r>
        <w:rPr>
          <w:rFonts w:ascii="Times New Roman" w:hAnsi="Times New Roman" w:eastAsia="Times New Roman" w:cs="Times New Roman"/>
          <w:color w:val="000000"/>
          <w:u w:val="none"/>
        </w:rPr>
        <w:t xml:space="preserve">, полученных 8 октября без персональных данных участников. Актуальная матрица требований приведена в </w:t>
      </w:r>
      <w:hyperlink r:id="rId13">
        <w:r>
          <w:rPr>
            <w:rFonts w:ascii="Times New Roman" w:hAnsi="Times New Roman" w:eastAsia="Times New Roman" w:cs="Times New Roman"/>
            <w:color w:val="000000"/>
            <w:u w:val="none"/>
          </w:rPr>
          <w:t xml:space="preserve">docs/50</w:t>
        </w:r>
      </w:hyperlink>
      <w:r>
        <w:rPr>
          <w:rFonts w:ascii="Times New Roman" w:hAnsi="Times New Roman" w:eastAsia="Times New Roman" w:cs="Times New Roman"/>
          <w:color w:val="000000"/>
          <w:u w:val="none"/>
        </w:rPr>
        <w:t xml:space="preserve">, полный протокол принятого выпуска — в </w:t>
      </w:r>
      <w:hyperlink r:id="rId14">
        <w:r>
          <w:rPr>
            <w:rFonts w:ascii="Times New Roman" w:hAnsi="Times New Roman" w:eastAsia="Times New Roman" w:cs="Times New Roman"/>
            <w:color w:val="000000"/>
            <w:u w:val="none"/>
          </w:rPr>
          <w:t xml:space="preserve">docs/48</w:t>
        </w:r>
      </w:hyperlink>
      <w:r>
        <w:rPr>
          <w:rFonts w:ascii="Times New Roman" w:hAnsi="Times New Roman" w:eastAsia="Times New Roman" w:cs="Times New Roman"/>
          <w:color w:val="000000"/>
          <w:u w:val="none"/>
        </w:rPr>
        <w:t xml:space="preserve">, инструкция нового стенда и её отдельная проверка — в </w:t>
      </w:r>
      <w:hyperlink r:id="rId15">
        <w:r>
          <w:rPr>
            <w:rFonts w:ascii="Times New Roman" w:hAnsi="Times New Roman" w:eastAsia="Times New Roman" w:cs="Times New Roman"/>
            <w:color w:val="000000"/>
            <w:u w:val="none"/>
          </w:rPr>
          <w:t xml:space="preserve">docs/53</w:t>
        </w:r>
      </w:hyperlink>
      <w:r>
        <w:rPr>
          <w:rFonts w:ascii="Times New Roman" w:hAnsi="Times New Roman" w:eastAsia="Times New Roman" w:cs="Times New Roman"/>
          <w:color w:val="000000"/>
          <w:u w:val="none"/>
        </w:rPr>
        <w:t xml:space="preserve"> и </w:t>
      </w:r>
      <w:hyperlink r:id="rId16">
        <w:r>
          <w:rPr>
            <w:rFonts w:ascii="Times New Roman" w:hAnsi="Times New Roman" w:eastAsia="Times New Roman" w:cs="Times New Roman"/>
            <w:color w:val="000000"/>
            <w:u w:val="none"/>
          </w:rPr>
          <w:t xml:space="preserve">docs/54</w:t>
        </w:r>
      </w:hyperlink>
      <w:r>
        <w:rPr>
          <w:rFonts w:ascii="Times New Roman" w:hAnsi="Times New Roman" w:eastAsia="Times New Roman" w:cs="Times New Roman"/>
          <w:color w:val="000000"/>
          <w:u w:val="none"/>
        </w:rPr>
        <w:t>.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>Термин «подтверждённый грейд» означает уровень навыков, подтверждённый тестом, а не стаж работы. Пороги Junior/Middle, веса ранжирования, интервалы смены грейда и полоса повторной проверки являются решениями команды в пределах ТЗ. Синтетические проверки подтверждают работу этих правил в системе, но не психометрическую калибровку профессиональных уровней и не качество реального найма.</w:t>
      </w:r>
    </w:p>
    <w:p>
      <w:pPr>
        <w:pStyle w:val="Heading2"/>
      </w:pPr>
      <w:r>
        <w:rPr>
          <w:rFonts w:ascii="Times New Roman" w:hAnsi="Times New Roman" w:eastAsia="Times New Roman" w:cs="Times New Roman"/>
          <w:color w:val="000000"/>
          <w:u w:val="none"/>
        </w:rPr>
        <w:t>2. Компонентная архитектура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>Архитектура разделена на веб-клиент, прикладной API, реляционное хранилище, изолированный исполнитель практических заданий и необязательный сервер языковой модели. Такое разделение сохраняет единый продуктовый контур и одновременно не передаёт исполнение пользовательского кода основному API.</w:t>
      </w:r>
    </w:p>
    <w:p>
      <w:pPr>
        <w:pStyle w:val="GOSTTableReference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>Сведения приведены в таблице 1.</w:t>
      </w:r>
    </w:p>
    <w:p>
      <w:pPr>
        <w:pStyle w:val="GOSTTableCaption"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>Таблица 1 — Компонентная архитектура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cantSplit/>
          <w:tblHeader w:val="true"/>
        </w:trPr>
        <w:tc>
          <w:tcPr>
            <w:tcW w:type="dxa" w:w="80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Компонент</w:t>
            </w:r>
          </w:p>
        </w:tc>
        <w:tc>
          <w:tcPr>
            <w:tcW w:type="dxa" w:w="427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Технология и роль</w:t>
            </w:r>
          </w:p>
        </w:tc>
        <w:tc>
          <w:tcPr>
            <w:tcW w:type="dxa" w:w="427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Граница ответственности</w:t>
            </w:r>
          </w:p>
        </w:tc>
      </w:tr>
      <w:tr>
        <w:trPr>
          <w:cantSplit/>
        </w:trPr>
        <w:tc>
          <w:tcPr>
            <w:tcW w:type="dxa" w:w="80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Web</w:t>
            </w:r>
          </w:p>
        </w:tc>
        <w:tc>
          <w:tcPr>
            <w:tcW w:type="dxa" w:w="427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React 19.3, TypeScript 7.0, Vite 8.3</w:t>
            </w:r>
          </w:p>
        </w:tc>
        <w:tc>
          <w:tcPr>
            <w:tcW w:type="dxa" w:w="427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Два ролевых кабинета, формы, очередь событий оценки, просмотр результатов и приглашений</w:t>
            </w:r>
          </w:p>
        </w:tc>
      </w:tr>
      <w:tr>
        <w:trPr>
          <w:cantSplit/>
        </w:trPr>
        <w:tc>
          <w:tcPr>
            <w:tcW w:type="dxa" w:w="80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API</w:t>
            </w:r>
          </w:p>
        </w:tc>
        <w:tc>
          <w:tcPr>
            <w:tcW w:type="dxa" w:w="427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FastAPI 0.142, Pydantic 2.13, SQLAlchemy 2.0</w:t>
            </w:r>
          </w:p>
        </w:tc>
        <w:tc>
          <w:tcPr>
            <w:tcW w:type="dxa" w:w="427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Аутентификация, роли, профили, тестирование, подбор, предложения, сообщения и контракты</w:t>
            </w:r>
          </w:p>
        </w:tc>
      </w:tr>
      <w:tr>
        <w:trPr>
          <w:cantSplit/>
        </w:trPr>
        <w:tc>
          <w:tcPr>
            <w:tcW w:type="dxa" w:w="80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Хранилище</w:t>
            </w:r>
          </w:p>
        </w:tc>
        <w:tc>
          <w:tcPr>
            <w:tcW w:type="dxa" w:w="427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PostgreSQL 16, Alembic; SQLite для облегчённых проверок</w:t>
            </w:r>
          </w:p>
        </w:tc>
        <w:tc>
          <w:tcPr>
            <w:tcW w:type="dxa" w:w="427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Пользователи, профили, попытки, согласия, вакансии, приглашения, банки заданий и аудит</w:t>
            </w:r>
          </w:p>
        </w:tc>
      </w:tr>
      <w:tr>
        <w:trPr>
          <w:cantSplit/>
        </w:trPr>
        <w:tc>
          <w:tcPr>
            <w:tcW w:type="dxa" w:w="80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Runner</w:t>
            </w:r>
          </w:p>
        </w:tc>
        <w:tc>
          <w:tcPr>
            <w:tcW w:type="dxa" w:w="427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Одноразовая Linux VM</w:t>
            </w:r>
          </w:p>
        </w:tc>
        <w:tc>
          <w:tcPr>
            <w:tcW w:type="dxa" w:w="427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Запуск Python, JavaScript и SQLite без переноса пользовательского кода в API</w:t>
            </w:r>
          </w:p>
        </w:tc>
      </w:tr>
      <w:tr>
        <w:trPr>
          <w:cantSplit/>
        </w:trPr>
        <w:tc>
          <w:tcPr>
            <w:tcW w:type="dxa" w:w="80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LLM</w:t>
            </w:r>
          </w:p>
        </w:tc>
        <w:tc>
          <w:tcPr>
            <w:tcW w:type="dxa" w:w="427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OpenAI-совместимый внутренний сервис, опционально Qwen3-4B</w:t>
            </w:r>
          </w:p>
        </w:tc>
        <w:tc>
          <w:tcPr>
            <w:tcW w:type="dxa" w:w="427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Только черновики заданий, объяснения и рекомендательная подсказка автору</w:t>
            </w:r>
          </w:p>
        </w:tc>
      </w:tr>
      <w:tr>
        <w:trPr>
          <w:cantSplit/>
        </w:trPr>
        <w:tc>
          <w:tcPr>
            <w:tcW w:type="dxa" w:w="80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Почта</w:t>
            </w:r>
          </w:p>
        </w:tc>
        <w:tc>
          <w:tcPr>
            <w:tcW w:type="dxa" w:w="427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SMTP с TLS либо локальный демонстрационный ящик</w:t>
            </w:r>
          </w:p>
        </w:tc>
        <w:tc>
          <w:tcPr>
            <w:tcW w:type="dxa" w:w="427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Доставка одноразового кода; внешняя SMTP-доставка требует настройки</w:t>
            </w:r>
          </w:p>
        </w:tc>
      </w:tr>
    </w:tbl>
    <w:p>
      <w:pPr>
        <w:spacing w:after="0"/>
        <w:ind w:firstLine="0"/>
      </w:pPr>
    </w:p>
    <w:p>
      <w:r>
        <w:rPr>
          <w:rFonts w:ascii="Times New Roman" w:hAnsi="Times New Roman" w:eastAsia="Times New Roman" w:cs="Times New Roman"/>
          <w:color w:val="000000"/>
          <w:u w:val="none"/>
        </w:rPr>
        <w:t>Frontend и backend собираются в контейнеры. Миграции применяются перед запуском API, а исходные синтетические записи добавляются идемпотентно. Основной стенд публикует интерфейс и API только на loopback. Сервис runner доступен API по внутренней сети; Docker socket, каталог проекта и произвольные файлы хоста ему не передаются.</w:t>
      </w:r>
    </w:p>
    <w:p>
      <w:pPr>
        <w:pStyle w:val="Heading2"/>
      </w:pPr>
      <w:r>
        <w:rPr>
          <w:rFonts w:ascii="Times New Roman" w:hAnsi="Times New Roman" w:eastAsia="Times New Roman" w:cs="Times New Roman"/>
          <w:color w:val="000000"/>
          <w:u w:val="none"/>
        </w:rPr>
        <w:t>3. Данные, роли и API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>Система различает кандидата и работодателя. Запросы к изменяющим операциям требуют действующей HttpOnly-сессии и CSRF-токена; доменные операции проверяют роль и владельца записи. Версионированные согласия отделяют обработку профиля от его публикации. Публичная проекция кандидата не содержит контакта, а работодатель не может получить неопубликованный либо чужой объект через другой маршрут API.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Контракт проекта генерируется из кода и описывает 87 путей и 100 операций. Для принятого среза проверено равенство live-контракта и сохранённого OpenAPI, 71 автономный HTTP-пример и 34 JSON-тела по схемам. Это локальный API продукта, а не официальный API ФСП. Реальный контракт достижений ФСП отсутствует; вместо него реализован демонстрационный реестр состояний </w:t>
      </w:r>
      <w:r>
        <w:rPr>
          <w:rFonts w:ascii="Times New Roman" w:hAnsi="Times New Roman" w:eastAsia="Times New Roman" w:cs="Times New Roman"/>
          <w:color w:val="000000"/>
          <w:u w:val="none"/>
        </w:rPr>
        <w:t>none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linked-empty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verified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и </w:t>
      </w:r>
      <w:r>
        <w:rPr>
          <w:rFonts w:ascii="Times New Roman" w:hAnsi="Times New Roman" w:eastAsia="Times New Roman" w:cs="Times New Roman"/>
          <w:color w:val="000000"/>
          <w:u w:val="none"/>
        </w:rPr>
        <w:t>unavailable</w:t>
      </w:r>
      <w:r>
        <w:rPr>
          <w:rFonts w:ascii="Times New Roman" w:hAnsi="Times New Roman" w:eastAsia="Times New Roman" w:cs="Times New Roman"/>
          <w:color w:val="000000"/>
          <w:u w:val="none"/>
        </w:rPr>
        <w:t>, а вход имитирует OIDC-подобный code flow с PKCE.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>Отсутствие истории ФСП не блокирует профиль. Спортивные достижения дают только ограниченный бонус внутри уже подтверждённой категории, как уточнено в ответе E08. Они не заменяют тест и не меняют специализацию или грейд.</w:t>
      </w:r>
    </w:p>
    <w:p>
      <w:pPr>
        <w:pStyle w:val="Heading2"/>
      </w:pPr>
      <w:r>
        <w:rPr>
          <w:rFonts w:ascii="Times New Roman" w:hAnsi="Times New Roman" w:eastAsia="Times New Roman" w:cs="Times New Roman"/>
          <w:color w:val="000000"/>
          <w:u w:val="none"/>
        </w:rPr>
        <w:t>4. Механика тестирования и присвоения категории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Категория определяется связкой специализации и подтверждённого грейда. В текущем справочнике есть Backend, Frontend, QA и Design, для каждого направления — Junior и Middle. Первичный blueprint един для категории, но конкретная форма строится из параметризованных семейств и серверного seed. Сервер хранит снимок выданной формы и закрытые ключи. Публичный </w:t>
      </w:r>
      <w:r>
        <w:rPr>
          <w:rFonts w:ascii="Times New Roman" w:hAnsi="Times New Roman" w:eastAsia="Times New Roman" w:cs="Times New Roman"/>
          <w:color w:val="000000"/>
          <w:u w:val="none"/>
        </w:rPr>
        <w:t>QuestionView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содержит только </w:t>
      </w:r>
      <w:r>
        <w:rPr>
          <w:rFonts w:ascii="Times New Roman" w:hAnsi="Times New Roman" w:eastAsia="Times New Roman" w:cs="Times New Roman"/>
          <w:color w:val="000000"/>
          <w:u w:val="none"/>
        </w:rPr>
        <w:t>id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options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skill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и </w:t>
      </w:r>
      <w:r>
        <w:rPr>
          <w:rFonts w:ascii="Times New Roman" w:hAnsi="Times New Roman" w:eastAsia="Times New Roman" w:cs="Times New Roman"/>
          <w:color w:val="000000"/>
          <w:u w:val="none"/>
        </w:rPr>
        <w:t>title</w:t>
      </w:r>
      <w:r>
        <w:rPr>
          <w:rFonts w:ascii="Times New Roman" w:hAnsi="Times New Roman" w:eastAsia="Times New Roman" w:cs="Times New Roman"/>
          <w:color w:val="000000"/>
          <w:u w:val="none"/>
        </w:rPr>
        <w:t>, поэтому объяснение, тема, эталон и параметры семейства до завершения попытки не раскрываются.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Форма версии </w:t>
      </w:r>
      <w:r>
        <w:rPr>
          <w:rFonts w:ascii="Times New Roman" w:hAnsi="Times New Roman" w:eastAsia="Times New Roman" w:cs="Times New Roman"/>
          <w:color w:val="000000"/>
          <w:u w:val="none"/>
        </w:rPr>
        <w:t>scenarios-v6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включает 12 заданий по трём навыкам. Результат вычисляется сервером; пороги команды составляют 70 для Junior и 80 для Middle. При результате в полосе ±6 баллов назначается вторая форма, итог строится по двум этапам. Неуспешная попытка не понижает ранее подтверждённый грейд. Повышение ограничено интервалом 90 суток; после повторного результата со статусом integrity hold следующая такая проверка закрывается на 14 суток.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>Сигналы целостности фиксируют темп ответа, массовую сдачу, копирование, сочетания клавиш, уход со страницы, переполнение бюджета событий и heartbeat. Перед submit клиент ожидает отправку очереди событий, а сервер принимает решение по собственному времени. Это защитные эвристики и основание для повторной проверки, а не удалённый прокторинг и не обещание полной защиты от списывания.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>Актуальная синтетическая диагностика построила 800 основных и 800 подтверждающих форм: 19 200 вопросов и 32 000 переносов ответов. Было четыре сырых прохода перенесённых ответов, но ни одного немедленного или итогового подтверждения после policy; потребовалось 18 вторых форм. Такой результат проверяет заданную механику против конкретного корпуса и программного oracle. Он не доказывает независимую сложность заданий на людях.</w:t>
      </w:r>
    </w:p>
    <w:p>
      <w:pPr>
        <w:pStyle w:val="Heading2"/>
      </w:pPr>
      <w:r>
        <w:rPr>
          <w:rFonts w:ascii="Times New Roman" w:hAnsi="Times New Roman" w:eastAsia="Times New Roman" w:cs="Times New Roman"/>
          <w:color w:val="000000"/>
          <w:u w:val="none"/>
        </w:rPr>
        <w:t>5. Подбор и объяснение результата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>Подбор начинается с жёстких условий. В выдачу допускается только опубликованный профиль с нужными специализацией и подтверждённым грейдом, всеми обязательными навыками, совместимым форматом работы и минимальной зарплатой не выше бюджета. Эти ограничения не компенсируются высоким суммарным баллом.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>Для прошедших фильтры кандидатов вычисляется объяснимый балл: до 45 пунктов за результат оценки, до 35 за пересечение требуемых и желательных навыков, до 10 за подтверждённый сигнал ФСП и до 10 за актуальность. Ответ API содержит совпавшие и отсутствующие навыки и компоненты балла. Сохранённый snapshot подборки не меняется задним числом при редактировании нового запроса.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>Эта формула — продуктовая политика, проверенная на синтетических парах и эталонах. Она не является обученной моделью рынка труда. Практические задания работодателя могут добавить свежий evidence по навыкам и актуальности, но не переводят кандидата в другой глобальный грейд и не обходят жёсткие фильтры.</w:t>
      </w:r>
    </w:p>
    <w:p>
      <w:pPr>
        <w:pStyle w:val="Heading2"/>
      </w:pPr>
      <w:r>
        <w:rPr>
          <w:rFonts w:ascii="Times New Roman" w:hAnsi="Times New Roman" w:eastAsia="Times New Roman" w:cs="Times New Roman"/>
          <w:color w:val="000000"/>
          <w:u w:val="none"/>
        </w:rPr>
        <w:t>6. Контакт, согласия и приватность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>В публичном поиске используется псевдоним, а контакт хранится отдельно от публичного профиля. Приглашение включает компанию, описание, зарплату от и до, признак gross/net, валюту RUB и, при необходимости, ссылку на вакансию. После принятия создаётся адресный grant только компании-отправителю. Аналогичный grant возникает при самостоятельном отклике; отказ, отзыв или withdraw снова скрывает контакт. Проверка выполняется при каждом чтении API и при экспорте PDF, а не только в интерфейсе.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>Экран управления этой границей показан на рисунке 1. Он использует синтетические записи и иллюстрирует пользовательский контроль, а не обработку реальных персональных данных.</w:t>
      </w:r>
    </w:p>
    <w:p>
      <w:pPr>
        <w:keepNext/>
        <w:ind w:firstLine="0"/>
        <w:jc w:val="center"/>
      </w:pPr>
      <w:r>
        <w:rPr>
          <w:rFonts w:ascii="Times New Roman" w:hAnsi="Times New Roman" w:eastAsia="Times New Roman" w:cs="Times New Roman"/>
          <w:color w:val="000000"/>
          <w:u w:val="none"/>
        </w:rPr>
        <w:drawing>
          <wp:inline xmlns:a="http://schemas.openxmlformats.org/drawingml/2006/main" xmlns:pic="http://schemas.openxmlformats.org/drawingml/2006/picture">
            <wp:extent cx="5940000" cy="4124999"/>
            <wp:docPr id="1" name="privacy" descr="Настройки доступности профиля и контактов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vac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24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OSTCaption"/>
        <w:keepNext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>Рисунок 1 — Настройки доступности профиля и контактов</w:t>
      </w:r>
    </w:p>
    <w:p>
      <w:pPr>
        <w:pStyle w:val="GOSTFigureSource"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>Источник: Работающий синтетический стенд NAS, Chromium; 11 октября 2026 года.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Пароли хешируются PBKDF2, одноразовые коды истекают и применяются один раз, вход ограничивается по частоте. В контейнерах используются </w:t>
      </w:r>
      <w:r>
        <w:rPr>
          <w:rFonts w:ascii="Times New Roman" w:hAnsi="Times New Roman" w:eastAsia="Times New Roman" w:cs="Times New Roman"/>
          <w:color w:val="000000"/>
          <w:u w:val="none"/>
        </w:rPr>
        <w:t>read_only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tmpfs, drop всех capabilities и </w:t>
      </w:r>
      <w:r>
        <w:rPr>
          <w:rFonts w:ascii="Times New Roman" w:hAnsi="Times New Roman" w:eastAsia="Times New Roman" w:cs="Times New Roman"/>
          <w:color w:val="000000"/>
          <w:u w:val="none"/>
        </w:rPr>
        <w:t>no-new-privileges</w:t>
      </w:r>
      <w:r>
        <w:rPr>
          <w:rFonts w:ascii="Times New Roman" w:hAnsi="Times New Roman" w:eastAsia="Times New Roman" w:cs="Times New Roman"/>
          <w:color w:val="000000"/>
          <w:u w:val="none"/>
        </w:rPr>
        <w:t>. Эти меры и отрицательные сценарии ролей и владельцев проверены, однако полноценная промышленная приёмка по 152-ФЗ, внешний аудит инфраструктуры и модель угроз оператора не проводились.</w:t>
      </w:r>
    </w:p>
    <w:p>
      <w:pPr>
        <w:pStyle w:val="Heading2"/>
      </w:pPr>
      <w:r>
        <w:rPr>
          <w:rFonts w:ascii="Times New Roman" w:hAnsi="Times New Roman" w:eastAsia="Times New Roman" w:cs="Times New Roman"/>
          <w:color w:val="000000"/>
          <w:u w:val="none"/>
        </w:rPr>
        <w:t>7. Банки и безопасное исполнение практических заданий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Работодатель может создать банк вручную, импортировать CSV/JSON или запросить ИИ-черновик. Поддержаны single choice, multiple choice, numeric и open response. Перед публикацией сервер требует непротиворечивую структуру: уникальные нормализованные варианты, один верный вариант для single choice, от двух до </w:t>
      </w:r>
      <w:r>
        <w:rPr>
          <w:rFonts w:ascii="Times New Roman" w:hAnsi="Times New Roman" w:eastAsia="Times New Roman" w:cs="Times New Roman"/>
          <w:color w:val="000000"/>
          <w:u w:val="none"/>
        </w:rPr>
        <w:t>n−1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верных для multiple choice и рубрику с уровнями 0, частичный результат и 100 для открытого ответа. Неоднозначный материал можно сохранить как draft, но нельзя опубликовать.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>Конструктор и состояние банка показаны на рисунке 2. Изображение фиксирует живой интерфейс синтетического стенда; корректность содержания конкретного задания определяется правилами публикации и просмотром автора.</w:t>
      </w:r>
    </w:p>
    <w:p>
      <w:pPr>
        <w:keepNext/>
        <w:ind w:firstLine="0"/>
        <w:jc w:val="center"/>
      </w:pPr>
      <w:r>
        <w:rPr>
          <w:rFonts w:ascii="Times New Roman" w:hAnsi="Times New Roman" w:eastAsia="Times New Roman" w:cs="Times New Roman"/>
          <w:color w:val="000000"/>
          <w:u w:val="none"/>
        </w:rPr>
        <w:drawing>
          <wp:inline xmlns:a="http://schemas.openxmlformats.org/drawingml/2006/main" xmlns:pic="http://schemas.openxmlformats.org/drawingml/2006/picture">
            <wp:extent cx="5940000" cy="4124999"/>
            <wp:docPr id="2" name="question-bank" descr="Конструктор и версии практических наборов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bank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24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OSTCaption"/>
        <w:keepNext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>Рисунок 2 — Конструктор и версии практических наборов</w:t>
      </w:r>
    </w:p>
    <w:p>
      <w:pPr>
        <w:pStyle w:val="GOSTFigureSource"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>Источник: Работающий синтетический стенд NAS, Chromium; 11 октября 2026 года.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Практические Python, JavaScript и SQLite-задания отправляются брокеру runner. Каждый запуск создаёт одноразовую VM без сети. Ограничиваются процессорное время, память, число процессов и длительность; основной API не выполняет код через обычный subprocess и не получает Docker socket. При KVM VM стартует быстрее, при отсутствии </w:t>
      </w:r>
      <w:r>
        <w:rPr>
          <w:rFonts w:ascii="Times New Roman" w:hAnsi="Times New Roman" w:eastAsia="Times New Roman" w:cs="Times New Roman"/>
          <w:color w:val="000000"/>
          <w:u w:val="none"/>
        </w:rPr>
        <w:t>/dev/kvm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используется TCG, но граница VM сохраняется.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>Путь кандидата к практике показан на рисунке 3. Результат задачи остаётся evidence конкретной практики и не повышает подтверждённый тестом глобальный грейд.</w:t>
      </w:r>
    </w:p>
    <w:p>
      <w:pPr>
        <w:keepNext/>
        <w:ind w:firstLine="0"/>
        <w:jc w:val="center"/>
      </w:pPr>
      <w:r>
        <w:rPr>
          <w:rFonts w:ascii="Times New Roman" w:hAnsi="Times New Roman" w:eastAsia="Times New Roman" w:cs="Times New Roman"/>
          <w:color w:val="000000"/>
          <w:u w:val="none"/>
        </w:rPr>
        <w:drawing>
          <wp:inline xmlns:a="http://schemas.openxmlformats.org/drawingml/2006/main" xmlns:pic="http://schemas.openxmlformats.org/drawingml/2006/picture">
            <wp:extent cx="5940000" cy="4124999"/>
            <wp:docPr id="3" name="practice" descr="Практические наборы в кабинете кандидат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24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OSTCaption"/>
        <w:keepNext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>Рисунок 3 — Практические наборы в кабинете кандидата</w:t>
      </w:r>
    </w:p>
    <w:p>
      <w:pPr>
        <w:pStyle w:val="GOSTFigureSource"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>Источник: Работающий синтетический стенд NAS, Chromium; 11 октября 2026 года.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>В текущей приёмке runner прошёл 28 из 28 проверок в TCG. На NAS реальный KVM smoke завершил 6 из 6 сценариев; медиана загрузки составила 4 397 мс, максимум — 5 107 мс. Контрольный конкурсный банк принял три эталонных решения и отклонил три типовых мутанта скрытыми случаями. Эти результаты проверяют конкретные образы и задания, а не безопасность любого произвольного кода.</w:t>
      </w:r>
    </w:p>
    <w:p>
      <w:pPr>
        <w:pStyle w:val="Heading2"/>
      </w:pPr>
      <w:r>
        <w:rPr>
          <w:rFonts w:ascii="Times New Roman" w:hAnsi="Times New Roman" w:eastAsia="Times New Roman" w:cs="Times New Roman"/>
          <w:color w:val="000000"/>
          <w:u w:val="none"/>
        </w:rPr>
        <w:t>8. ИИ-контур и обязательная ручная проверка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Базовый продукт работает с </w:t>
      </w:r>
      <w:r>
        <w:rPr>
          <w:rFonts w:ascii="Times New Roman" w:hAnsi="Times New Roman" w:eastAsia="Times New Roman" w:cs="Times New Roman"/>
          <w:color w:val="000000"/>
          <w:u w:val="none"/>
        </w:rPr>
        <w:t>FSP_LLM_PROVIDER=none</w:t>
      </w:r>
      <w:r>
        <w:rPr>
          <w:rFonts w:ascii="Times New Roman" w:hAnsi="Times New Roman" w:eastAsia="Times New Roman" w:cs="Times New Roman"/>
          <w:color w:val="000000"/>
          <w:u w:val="none"/>
        </w:rPr>
        <w:t>. Необязательный контур поддерживает OpenAI-совместимый API со строгим JSON Schema. Принята открытая Qwen3-4B-Instruct-2507 в NF4 без LoRA: адаптеры v1/v2 были проверены и отклонены, поскольку хуже решали новые вычислимые задания. Модель и revision закреплены, файлы весов сверяются по SHA-256 и не хранятся в Git.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Модель создаёт только приватный черновик с </w:t>
      </w:r>
      <w:r>
        <w:rPr>
          <w:rFonts w:ascii="Times New Roman" w:hAnsi="Times New Roman" w:eastAsia="Times New Roman" w:cs="Times New Roman"/>
          <w:color w:val="000000"/>
          <w:u w:val="none"/>
        </w:rPr>
        <w:t>review_required=true</w:t>
      </w:r>
      <w:r>
        <w:rPr>
          <w:rFonts w:ascii="Times New Roman" w:hAnsi="Times New Roman" w:eastAsia="Times New Roman" w:cs="Times New Roman"/>
          <w:color w:val="000000"/>
          <w:u w:val="none"/>
        </w:rPr>
        <w:t>. Сервер проверяет структуру и собирает варианты, а автор проверяет условие, эталон, варианты и рубрику до публикации. Для открытого ответа ИИ может предложить оценку и обратную связь, но работодатель принимает окончательное решение. Подсказка не меняет профиль, навыки и грейд.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>Живой NAS→GPU прогон подтвердил четыре типа генерации, сохранение и публикацию, ответ кандидата и ручное завершение. При этом модель предложила 65 баллов за ответ, которому автор после проверки поставил 100, и пропустила уже описанный аспект решения. В рубрике также осталась опечатка. Поэтому результат подтверждает работу runtime-контракта, но одновременно показывает, почему автоматическое решение о квалификации запрещено.</w:t>
      </w:r>
    </w:p>
    <w:p>
      <w:pPr>
        <w:pStyle w:val="Heading2"/>
      </w:pPr>
      <w:r>
        <w:rPr>
          <w:rFonts w:ascii="Times New Roman" w:hAnsi="Times New Roman" w:eastAsia="Times New Roman" w:cs="Times New Roman"/>
          <w:color w:val="000000"/>
          <w:u w:val="none"/>
        </w:rPr>
        <w:t>9. Сборка и развёртывание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Проверяющий выбирает один из трёх режимов: базовый стенд без ИИ, полный стенд с локальной Qwen на NVIDIA GPU либо собственный OpenAI-совместимый сервер. Во всех режимах Python, Node и PostgreSQL находятся внутри контейнеров. Штатный цикл выполняют </w:t>
      </w:r>
      <w:r>
        <w:rPr>
          <w:rFonts w:ascii="Times New Roman" w:hAnsi="Times New Roman" w:eastAsia="Times New Roman" w:cs="Times New Roman"/>
          <w:color w:val="000000"/>
          <w:u w:val="none"/>
        </w:rPr>
        <w:t>./scripts/run.sh init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start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status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и </w:t>
      </w:r>
      <w:r>
        <w:rPr>
          <w:rFonts w:ascii="Times New Roman" w:hAnsi="Times New Roman" w:eastAsia="Times New Roman" w:cs="Times New Roman"/>
          <w:color w:val="000000"/>
          <w:u w:val="none"/>
        </w:rPr>
        <w:t>check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; интерфейс доступен на </w:t>
      </w:r>
      <w:r>
        <w:rPr>
          <w:rFonts w:ascii="Times New Roman" w:hAnsi="Times New Roman" w:eastAsia="Times New Roman" w:cs="Times New Roman"/>
          <w:color w:val="000000"/>
          <w:u w:val="none"/>
        </w:rPr>
        <w:t>http://127.0.0.1:8470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документация API — на </w:t>
      </w:r>
      <w:r>
        <w:rPr>
          <w:rFonts w:ascii="Times New Roman" w:hAnsi="Times New Roman" w:eastAsia="Times New Roman" w:cs="Times New Roman"/>
          <w:color w:val="000000"/>
          <w:u w:val="none"/>
        </w:rPr>
        <w:t>/api/docs</w:t>
      </w:r>
      <w:r>
        <w:rPr>
          <w:rFonts w:ascii="Times New Roman" w:hAnsi="Times New Roman" w:eastAsia="Times New Roman" w:cs="Times New Roman"/>
          <w:color w:val="000000"/>
          <w:u w:val="none"/>
        </w:rPr>
        <w:t>.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>Для базового режима рекомендованы 4 CPU, 8 ГБ RAM и 15 ГБ диска. Для проверенного GPU-режима — NVIDIA с 8 ГБ VRAM, 24 ГБ RAM и 40 ГБ диска; измерения выполнены на RTX 4070 Laptop 8 ГБ. Значение 6 ГБ VRAM является нижней границей конфигурации, а не гарантией для любой видеокарты. Apple Silicon и AMD GPU как полный локальный режим выпуска не проверены.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Собственная модель загружается из закреплённого официального revision. Загрузчик сначала пишет </w:t>
      </w:r>
      <w:r>
        <w:rPr>
          <w:rFonts w:ascii="Times New Roman" w:hAnsi="Times New Roman" w:eastAsia="Times New Roman" w:cs="Times New Roman"/>
          <w:color w:val="000000"/>
          <w:u w:val="none"/>
        </w:rPr>
        <w:t>.part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затем проверяет SHA-256 и только после успеха заменяет целевой файл. Offline-проверка отклоняет пропуски, лишние файлы, ссылки и небезопасные пути. Секреты создаются локально и не перезаписываются повторным </w:t>
      </w:r>
      <w:r>
        <w:rPr>
          <w:rFonts w:ascii="Times New Roman" w:hAnsi="Times New Roman" w:eastAsia="Times New Roman" w:cs="Times New Roman"/>
          <w:color w:val="000000"/>
          <w:u w:val="none"/>
        </w:rPr>
        <w:t>init</w:t>
      </w:r>
      <w:r>
        <w:rPr>
          <w:rFonts w:ascii="Times New Roman" w:hAnsi="Times New Roman" w:eastAsia="Times New Roman" w:cs="Times New Roman"/>
          <w:color w:val="000000"/>
          <w:u w:val="none"/>
        </w:rPr>
        <w:t>.</w:t>
      </w:r>
    </w:p>
    <w:p>
      <w:pPr>
        <w:pStyle w:val="Heading2"/>
      </w:pPr>
      <w:r>
        <w:rPr>
          <w:rFonts w:ascii="Times New Roman" w:hAnsi="Times New Roman" w:eastAsia="Times New Roman" w:cs="Times New Roman"/>
          <w:color w:val="000000"/>
          <w:u w:val="none"/>
        </w:rPr>
        <w:t>10. Проверка принятого среза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Главные результаты 11 октября 2026 года относятся к принятому срезу </w:t>
      </w:r>
      <w:r>
        <w:rPr>
          <w:rFonts w:ascii="Times New Roman" w:hAnsi="Times New Roman" w:eastAsia="Times New Roman" w:cs="Times New Roman"/>
          <w:color w:val="000000"/>
          <w:u w:val="none"/>
        </w:rPr>
        <w:t>58105a2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и его указанным runtime-образам.</w:t>
      </w:r>
    </w:p>
    <w:p>
      <w:pPr>
        <w:pStyle w:val="GOSTTableReference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>Сведения приведены в таблице 2.</w:t>
      </w:r>
    </w:p>
    <w:p>
      <w:pPr>
        <w:pStyle w:val="GOSTTableCaption"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>Таблица 2 — Проверка принятого среза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cantSplit/>
          <w:tblHeader w:val="true"/>
        </w:trPr>
        <w:tc>
          <w:tcPr>
            <w:tcW w:type="dxa" w:w="111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Область</w:t>
            </w:r>
          </w:p>
        </w:tc>
        <w:tc>
          <w:tcPr>
            <w:tcW w:type="dxa" w:w="41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Результат</w:t>
            </w:r>
          </w:p>
        </w:tc>
        <w:tc>
          <w:tcPr>
            <w:tcW w:type="dxa" w:w="41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Что результат не означает</w:t>
            </w:r>
          </w:p>
        </w:tc>
      </w:tr>
      <w:tr>
        <w:trPr>
          <w:cantSplit/>
        </w:trPr>
        <w:tc>
          <w:tcPr>
            <w:tcW w:type="dxa" w:w="111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SQLite</w:t>
            </w:r>
          </w:p>
        </w:tc>
        <w:tc>
          <w:tcPr>
            <w:tcW w:type="dxa" w:w="41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410 passed, 2 skipped, 6 подтестов, exit 0</w:t>
            </w:r>
          </w:p>
        </w:tc>
        <w:tc>
          <w:tcPr>
            <w:tcW w:type="dxa" w:w="41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Не заменяет PostgreSQL-конкурентность</w:t>
            </w:r>
          </w:p>
        </w:tc>
      </w:tr>
      <w:tr>
        <w:trPr>
          <w:cantSplit/>
        </w:trPr>
        <w:tc>
          <w:tcPr>
            <w:tcW w:type="dxa" w:w="111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PostgreSQL 16</w:t>
            </w:r>
          </w:p>
        </w:tc>
        <w:tc>
          <w:tcPr>
            <w:tcW w:type="dxa" w:w="41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411 passed, 1 skipped, 6 подтестов, exit 0</w:t>
            </w:r>
          </w:p>
        </w:tc>
        <w:tc>
          <w:tcPr>
            <w:tcW w:type="dxa" w:w="41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Не является нагрузочным аудитом промышленного стенда</w:t>
            </w:r>
          </w:p>
        </w:tc>
      </w:tr>
      <w:tr>
        <w:trPr>
          <w:cantSplit/>
        </w:trPr>
        <w:tc>
          <w:tcPr>
            <w:tcW w:type="dxa" w:w="111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Браузеры</w:t>
            </w:r>
          </w:p>
        </w:tc>
        <w:tc>
          <w:tcPr>
            <w:tcW w:type="dxa" w:w="41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132/132: по 44 Chromium, Firefox и WebKit</w:t>
            </w:r>
          </w:p>
        </w:tc>
        <w:tc>
          <w:tcPr>
            <w:tcW w:type="dxa" w:w="41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Не проверяет все мобильные устройства и вспомогательные технологии</w:t>
            </w:r>
          </w:p>
        </w:tc>
      </w:tr>
      <w:tr>
        <w:trPr>
          <w:cantSplit/>
        </w:trPr>
        <w:tc>
          <w:tcPr>
            <w:tcW w:type="dxa" w:w="111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API</w:t>
            </w:r>
          </w:p>
        </w:tc>
        <w:tc>
          <w:tcPr>
            <w:tcW w:type="dxa" w:w="41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87 путей, 100 операций; контракт совпал с работающим API</w:t>
            </w:r>
          </w:p>
        </w:tc>
        <w:tc>
          <w:tcPr>
            <w:tcW w:type="dxa" w:w="41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Автономные примеры не равны вызову каждой операции в промышленном стенде</w:t>
            </w:r>
          </w:p>
        </w:tc>
      </w:tr>
      <w:tr>
        <w:trPr>
          <w:cantSplit/>
        </w:trPr>
        <w:tc>
          <w:tcPr>
            <w:tcW w:type="dxa" w:w="111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VM</w:t>
            </w:r>
          </w:p>
        </w:tc>
        <w:tc>
          <w:tcPr>
            <w:tcW w:type="dxa" w:w="41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TCG 28/28; NAS KVM 6/6</w:t>
            </w:r>
          </w:p>
        </w:tc>
        <w:tc>
          <w:tcPr>
            <w:tcW w:type="dxa" w:w="41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Не доказывает абсолютную изоляцию любого гипервизора</w:t>
            </w:r>
          </w:p>
        </w:tc>
      </w:tr>
      <w:tr>
        <w:trPr>
          <w:cantSplit/>
        </w:trPr>
        <w:tc>
          <w:tcPr>
            <w:tcW w:type="dxa" w:w="111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LLM</w:t>
            </w:r>
          </w:p>
        </w:tc>
        <w:tc>
          <w:tcPr>
            <w:tcW w:type="dxa" w:w="41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4/4 типа сгенерированы в живом контуре</w:t>
            </w:r>
          </w:p>
        </w:tc>
        <w:tc>
          <w:tcPr>
            <w:tcW w:type="dxa" w:w="41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Не подтверждает безошибочность смысла</w:t>
            </w:r>
          </w:p>
        </w:tc>
      </w:tr>
    </w:tbl>
    <w:p>
      <w:pPr>
        <w:spacing w:after="0"/>
        <w:ind w:firstLine="0"/>
      </w:pPr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Прежние показатели 10 октября — 363/364 теста и 126 браузерных сценариев — остаются историческим срезом и не прибавляются к текущим числам. Доработка самостоятельного развёртывания из </w:t>
      </w:r>
      <w:hyperlink r:id="rId16">
        <w:r>
          <w:rPr>
            <w:rFonts w:ascii="Times New Roman" w:hAnsi="Times New Roman" w:eastAsia="Times New Roman" w:cs="Times New Roman"/>
            <w:color w:val="000000"/>
            <w:u w:val="none"/>
          </w:rPr>
          <w:t xml:space="preserve">docs/54</w:t>
        </w:r>
      </w:hyperlink>
      <w:r>
        <w:rPr>
          <w:rFonts w:ascii="Times New Roman" w:hAnsi="Times New Roman" w:eastAsia="Times New Roman" w:cs="Times New Roman"/>
          <w:color w:val="000000"/>
          <w:u w:val="none"/>
        </w:rPr>
        <w:t xml:space="preserve"> прошла отдельные 69 целевых тестов и TCG smoke 6/6. Это проверка установки, download и ready-check поверх принятого продукта, а не новый полный прогон 410/411/132. Полный холодный GPU Compose на этом этапе не повторялся, чтобы не останавливать действующий приватный стенд.</w:t>
      </w:r>
    </w:p>
    <w:p>
      <w:pPr>
        <w:pStyle w:val="Heading2"/>
      </w:pPr>
      <w:r>
        <w:rPr>
          <w:rFonts w:ascii="Times New Roman" w:hAnsi="Times New Roman" w:eastAsia="Times New Roman" w:cs="Times New Roman"/>
          <w:color w:val="000000"/>
          <w:u w:val="none"/>
        </w:rPr>
        <w:t>11. Существенные ограничения</w:t>
      </w:r>
    </w:p>
    <w:p>
      <w:pPr>
        <w:pStyle w:val="GOSTList"/>
        <w:ind w:left="709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• </w:t>
      </w:r>
      <w:r>
        <w:rPr>
          <w:rFonts w:ascii="Times New Roman" w:hAnsi="Times New Roman" w:eastAsia="Times New Roman" w:cs="Times New Roman"/>
          <w:color w:val="000000"/>
          <w:u w:val="none"/>
        </w:rPr>
        <w:t>Все данные демонстрации синтетические; пилот с людьми и независимая экспертная разметка не проведены.</w:t>
      </w:r>
    </w:p>
    <w:p>
      <w:pPr>
        <w:pStyle w:val="GOSTList"/>
        <w:ind w:left="709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• </w:t>
      </w:r>
      <w:r>
        <w:rPr>
          <w:rFonts w:ascii="Times New Roman" w:hAnsi="Times New Roman" w:eastAsia="Times New Roman" w:cs="Times New Roman"/>
          <w:color w:val="000000"/>
          <w:u w:val="none"/>
        </w:rPr>
        <w:t>Пороги Junior/Middle, test-retest и ranking проверены программно, но не психометрически калиброваны на репрезентативной выборке специалистов.</w:t>
      </w:r>
    </w:p>
    <w:p>
      <w:pPr>
        <w:pStyle w:val="GOSTList"/>
        <w:ind w:left="709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• </w:t>
      </w:r>
      <w:r>
        <w:rPr>
          <w:rFonts w:ascii="Times New Roman" w:hAnsi="Times New Roman" w:eastAsia="Times New Roman" w:cs="Times New Roman"/>
          <w:color w:val="000000"/>
          <w:u w:val="none"/>
        </w:rPr>
        <w:t>Реального зарегистрированного клиента ФСП ID и официального API достижений нет; текущий реестр — mock с явно обозначенными состояниями.</w:t>
      </w:r>
    </w:p>
    <w:p>
      <w:pPr>
        <w:pStyle w:val="GOSTList"/>
        <w:ind w:left="709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• </w:t>
      </w:r>
      <w:r>
        <w:rPr>
          <w:rFonts w:ascii="Times New Roman" w:hAnsi="Times New Roman" w:eastAsia="Times New Roman" w:cs="Times New Roman"/>
          <w:color w:val="000000"/>
          <w:u w:val="none"/>
        </w:rPr>
        <w:t>Integrity-сигналы не являются прокторингом и не гарантируют предотвращение списывания.</w:t>
      </w:r>
    </w:p>
    <w:p>
      <w:pPr>
        <w:pStyle w:val="GOSTList"/>
        <w:ind w:left="709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• </w:t>
      </w:r>
      <w:r>
        <w:rPr>
          <w:rFonts w:ascii="Times New Roman" w:hAnsi="Times New Roman" w:eastAsia="Times New Roman" w:cs="Times New Roman"/>
          <w:color w:val="000000"/>
          <w:u w:val="none"/>
        </w:rPr>
        <w:t>Локальная Qwen и любой внешний провайдер требуют ручной проверки результата; сторонние OpenAI-совместимые серверы не сертифицированы.</w:t>
      </w:r>
    </w:p>
    <w:p>
      <w:pPr>
        <w:pStyle w:val="GOSTList"/>
        <w:ind w:left="709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• </w:t>
      </w:r>
      <w:r>
        <w:rPr>
          <w:rFonts w:ascii="Times New Roman" w:hAnsi="Times New Roman" w:eastAsia="Times New Roman" w:cs="Times New Roman"/>
          <w:color w:val="000000"/>
          <w:u w:val="none"/>
        </w:rPr>
        <w:t>ATS и защита от фиктивных компаний описаны как направления интеграции, но промышленная синхронизация и внешний источник доверия не реализованы.</w:t>
      </w:r>
    </w:p>
    <w:p>
      <w:pPr>
        <w:pStyle w:val="GOSTList"/>
        <w:ind w:left="709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• </w:t>
      </w:r>
      <w:r>
        <w:rPr>
          <w:rFonts w:ascii="Times New Roman" w:hAnsi="Times New Roman" w:eastAsia="Times New Roman" w:cs="Times New Roman"/>
          <w:color w:val="000000"/>
          <w:u w:val="none"/>
        </w:rPr>
        <w:t>Полный стенд работает локально; временный парольный показ жюри описан в разделе 12. Проектная лицензия и эксплуатационная приёмка с реальными ПДн остаются отдельными решениями.</w:t>
      </w:r>
    </w:p>
    <w:p>
      <w:pPr>
        <w:pStyle w:val="Heading2"/>
      </w:pPr>
      <w:r>
        <w:rPr>
          <w:rFonts w:ascii="Times New Roman" w:hAnsi="Times New Roman" w:eastAsia="Times New Roman" w:cs="Times New Roman"/>
          <w:color w:val="000000"/>
          <w:u w:val="none"/>
        </w:rPr>
        <w:t>12. Правовые условия и временный домен — дополнение 11 октября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По новому поручению владельца подготовлен отдельный jury-контур на NAS: парольные синтетические аккаунты, собственная база, HTTPS-прокси Caddy, закрытые служебные маршруты, host/origin allowlist и Secure cookie. Домен </w:t>
      </w:r>
      <w:r>
        <w:rPr>
          <w:rFonts w:ascii="Times New Roman" w:hAnsi="Times New Roman" w:eastAsia="Times New Roman" w:cs="Times New Roman"/>
          <w:color w:val="000000"/>
          <w:u w:val="none"/>
        </w:rPr>
        <w:t>fsptest.kolesnikovny.ru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опубликован через российский VPS ru2 и reverse SSH до NAS; внешняя проверка TLS и 22 HTTP-шагов прошла 11 октября. NAS находится в России по подтверждению владельца. Политика указывает Колесникова Никиту Юрьевича и inbox@nkolesnikov.ru. Системный nginx NAS не менялся. Изоляция VM на новом стенде прошла 28 проверок; независимая браузерная проверка jury UI — 9/9 на трёх движках, локальный режим — 3/3.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>Внешняя почта теперь требует явного включения SMTP; прямой адаптер принимает только синтетические адреса и проверяет TLS. Jury-режим отключает регистрацию, email-коды, mock-почту, вход по demo-ID, ФСП ID mock и импорт PDF. Полный локальный режим и видео сохраняют исходный путь регистрации по ТЗ. Опубликованные правила подбора используют реальную формулу 45/35/10/10. Подготовлены правовые страницы, инвентаризация 43 Python-пакетов и трёх веб-компонентов с копиями лицензий; модель остаётся отдельной закреплённой загрузкой Apache-2.0. Подробности — docs/58–61.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Новые проверки этого дополнения фиксируются отдельно в </w:t>
      </w:r>
      <w:r>
        <w:rPr>
          <w:rFonts w:ascii="Times New Roman" w:hAnsi="Times New Roman" w:eastAsia="Times New Roman" w:cs="Times New Roman"/>
          <w:color w:val="000000"/>
          <w:u w:val="none"/>
        </w:rPr>
        <w:t>docs/release/2026-10-11-legal-submission/</w:t>
      </w:r>
      <w:r>
        <w:rPr>
          <w:rFonts w:ascii="Times New Roman" w:hAnsi="Times New Roman" w:eastAsia="Times New Roman" w:cs="Times New Roman"/>
          <w:color w:val="000000"/>
          <w:u w:val="none"/>
        </w:rPr>
        <w:t>; ранее приведённые результаты 410/411/132 относятся к базовому выпуску и не суммируются с новым прогоном.</w:t>
      </w:r>
    </w:p>
    <w:p>
      <w:pPr>
        <w:pStyle w:val="Heading2"/>
      </w:pPr>
      <w:r>
        <w:rPr>
          <w:rFonts w:ascii="Times New Roman" w:hAnsi="Times New Roman" w:eastAsia="Times New Roman" w:cs="Times New Roman"/>
          <w:color w:val="000000"/>
          <w:u w:val="none"/>
        </w:rPr>
        <w:t>13. Вывод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>Реализация закрывает обязательный сквозной путь: регистрация, профиль, тестирование, подтверждённая категория, объяснимый поиск, персональное приглашение и контролируемое открытие контакта. Технический центр решения — серверные правила и проверяемые границы: закрытые ключи теста, жёсткие фильтры, адресные grants, VM-runner и ручное подтверждение ИИ-материалов. Опубликованные протоколы показывают воспроизводимость конкретного конкурсного среза. Дальнейший переход к реальной эксплуатации требует данных и соглашений ФСП, человеческой калибровки оценивания, промышленного аудита безопасности и отдельной приёмки инфраструктуры оператора.</w:t>
      </w:r>
    </w:p>
    <w:sectPr w:rsidR="00FC693F" w:rsidRPr="0006063C" w:rsidSect="00034616">
      <w:footerReference w:type="default" r:id="rId10"/>
      <w:pgSz w:w="11906" w:h="16838"/>
      <w:pgMar w:top="1134" w:right="850" w:bottom="1134" w:left="1701" w:header="720" w:footer="567" w:gutter="0"/>
      <w:cols w:space="720"/>
      <w:docGrid w:linePitch="360"/>
      <w:pgNumType w:start="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eastAsia="Times New Roman" w:cs="Times New Roman"/>
        <w:color w:val="000000"/>
        <w:sz w:val="24"/>
        <w:u w:val="none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b w:val="0"/>
      <w:i w:val="0"/>
      <w:color w:val="000000"/>
      <w:sz w:val="28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eastAsia="Times New Roman" w:cs="Times New Roman"/>
      <w:color w:val="000000"/>
      <w:u w:val="none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eastAsia="Times New Roman" w:cs="Times New Roman"/>
      <w:color w:val="000000"/>
      <w:u w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 w:left="0"/>
      <w:jc w:val="center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 w:left="0"/>
      <w:jc w:val="left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ind w:firstLine="0" w:left="0"/>
      <w:jc w:val="left"/>
      <w:outlineLvl w:val="2"/>
    </w:pPr>
    <w:rPr>
      <w:rFonts w:ascii="Times New Roman" w:hAnsi="Times New Roman" w:eastAsia="Times New Roman" w:cs="Times New Roman"/>
      <w:b/>
      <w:bCs/>
      <w:i w:val="0"/>
      <w:color w:val="000000"/>
      <w:sz w:val="28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120" w:line="360" w:lineRule="auto"/>
      <w:ind w:firstLine="0" w:left="0"/>
      <w:jc w:val="left"/>
      <w:outlineLvl w:val="3"/>
    </w:pPr>
    <w:rPr>
      <w:rFonts w:ascii="Times New Roman" w:hAnsi="Times New Roman" w:eastAsia="Times New Roman" w:cs="Times New Roman"/>
      <w:b/>
      <w:bCs/>
      <w:i w:val="0"/>
      <w:iCs/>
      <w:color w:val="000000"/>
      <w:sz w:val="28"/>
      <w:u w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000000"/>
      <w:u w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000000"/>
      <w:u w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000000"/>
      <w:u w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000000"/>
      <w:sz w:val="20"/>
      <w:szCs w:val="20"/>
      <w:u w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000000"/>
      <w:sz w:val="20"/>
      <w:szCs w:val="20"/>
      <w:u w:val="none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Times New Roman" w:cs="Times New Roman"/>
      <w:b w:val="0"/>
      <w:i w:val="0"/>
      <w:color w:val="000000"/>
      <w:sz w:val="28"/>
      <w:u w:val="none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 w:eastAsia="Times New Roman" w:cs="Times New Roman"/>
      <w:color w:val="000000"/>
      <w:u w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000000"/>
      <w:sz w:val="28"/>
      <w:szCs w:val="28"/>
      <w:u w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000000"/>
      <w:sz w:val="26"/>
      <w:szCs w:val="26"/>
      <w:u w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000000"/>
      <w:u w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360" w:lineRule="auto" w:before="0"/>
      <w:ind w:firstLine="0"/>
      <w:contextualSpacing/>
      <w:jc w:val="center"/>
    </w:pPr>
    <w:rPr>
      <w:rFonts w:ascii="Times New Roman" w:hAnsi="Times New Roman" w:eastAsia="Times New Roman" w:cs="Times New Roman"/>
      <w:b/>
      <w:i w:val="0"/>
      <w:color w:val="000000"/>
      <w:spacing w:val="5"/>
      <w:kern w:val="28"/>
      <w:sz w:val="2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000000"/>
      <w:spacing w:val="5"/>
      <w:kern w:val="28"/>
      <w:sz w:val="52"/>
      <w:szCs w:val="52"/>
      <w:u w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  <w:u w:val="none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color w:val="000000"/>
      <w:u w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eastAsia="Times New Roman" w:cs="Times New Roman"/>
      <w:color w:val="000000"/>
      <w:u w:val="none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Times New Roman" w:cs="Times New Roman"/>
      <w:color w:val="000000"/>
      <w:u w:val="none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eastAsia="Times New Roman" w:cs="Times New Roman"/>
      <w:color w:val="000000"/>
      <w:u w:val="none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color w:val="000000"/>
      <w:sz w:val="16"/>
      <w:szCs w:val="16"/>
      <w:u w:val="none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eastAsia="Times New Roman" w:cs="Times New Roman"/>
      <w:color w:val="000000"/>
      <w:sz w:val="16"/>
      <w:szCs w:val="16"/>
      <w:u w:val="none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color w:val="000000"/>
      <w:sz w:val="20"/>
      <w:szCs w:val="20"/>
      <w:u w:val="none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color w:val="000000"/>
      <w:sz w:val="20"/>
      <w:szCs w:val="20"/>
      <w:u w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Times New Roman" w:cs="Times New Roman"/>
      <w:i/>
      <w:iCs/>
      <w:color w:val="000000"/>
      <w:u w:val="none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eastAsia="Times New Roman" w:cs="Times New Roman"/>
      <w:i/>
      <w:iCs/>
      <w:color w:val="000000"/>
      <w:u w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000000"/>
      <w:u w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000000"/>
      <w:u w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  <w:u w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  <w:u w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000000"/>
      <w:sz w:val="20"/>
      <w:szCs w:val="20"/>
      <w:u w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  <w:sz w:val="20"/>
      <w:szCs w:val="20"/>
      <w:u w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Times New Roman" w:cs="Times New Roman"/>
      <w:b/>
      <w:bCs/>
      <w:color w:val="000000"/>
      <w:sz w:val="18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eastAsia="Times New Roman" w:cs="Times New Roman"/>
      <w:b/>
      <w:bCs/>
      <w:color w:val="000000"/>
      <w:u w:val="none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eastAsia="Times New Roman" w:cs="Times New Roman"/>
      <w:i/>
      <w:iCs/>
      <w:color w:val="000000"/>
      <w:u w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000000"/>
      </w:pBdr>
      <w:spacing w:before="200" w:after="280"/>
      <w:ind w:left="936" w:right="936"/>
    </w:pPr>
    <w:rPr>
      <w:rFonts w:ascii="Times New Roman" w:hAnsi="Times New Roman" w:eastAsia="Times New Roman" w:cs="Times New Roman"/>
      <w:b/>
      <w:bCs/>
      <w:i/>
      <w:iCs/>
      <w:color w:val="000000"/>
      <w:u w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eastAsia="Times New Roman" w:cs="Times New Roman"/>
      <w:b/>
      <w:bCs/>
      <w:i/>
      <w:iCs/>
      <w:color w:val="000000"/>
      <w:u w:val="none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eastAsia="Times New Roman" w:cs="Times New Roman"/>
      <w:i/>
      <w:iCs/>
      <w:color w:val="000000"/>
      <w:u w:val="none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eastAsia="Times New Roman" w:cs="Times New Roman"/>
      <w:b/>
      <w:bCs/>
      <w:i/>
      <w:iCs/>
      <w:color w:val="000000"/>
      <w:u w:val="none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eastAsia="Times New Roman" w:cs="Times New Roman"/>
      <w:smallCaps/>
      <w:color w:val="000000"/>
      <w:u w:val="non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eastAsia="Times New Roman" w:cs="Times New Roman"/>
      <w:b/>
      <w:bCs/>
      <w:smallCaps/>
      <w:color w:val="000000"/>
      <w:spacing w:val="5"/>
      <w:u w:val="non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eastAsia="Times New Roman" w:cs="Times New Roman"/>
      <w:b/>
      <w:bCs/>
      <w:smallCaps/>
      <w:color w:val="000000"/>
      <w:spacing w:val="5"/>
      <w:u w:val="non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Times New Roman" w:cs="Times New Roman"/>
      <w:color w:val="000000"/>
      <w:u w:val="none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000000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000000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000000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000000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000000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000000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000000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C0C0C0" w:themeFill="text1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C0C0C0" w:themeFill="text1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D3DFEE" w:themeFill="accent1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D3DFEE" w:themeFill="accent1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EFD3D2" w:themeFill="accent2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EFD3D2" w:themeFill="accent2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E6EED5" w:themeFill="accent3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E6EED5" w:themeFill="accent3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DFD8E8" w:themeFill="accent4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DFD8E8" w:themeFill="accent4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D2EAF1" w:themeFill="accent5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D2EAF1" w:themeFill="accent5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FDE4D0" w:themeFill="accent6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FDE4D0" w:themeFill="accent6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8D8D8" w:themeFill="background1" w:themeFillShade="D8"/>
      </w:tcPr>
    </w:tblStylePr>
    <w:tblStylePr w:type="band1Horz">
      <w:tblPr/>
      <w:tcPr>
        <w:shd w:val="clear" w:color="000000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8D8D8" w:themeFill="background1" w:themeFillShade="D8"/>
      </w:tcPr>
    </w:tblStylePr>
    <w:tblStylePr w:type="band1Horz">
      <w:tblPr/>
      <w:tcPr>
        <w:shd w:val="clear" w:color="000000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8D8D8" w:themeFill="background1" w:themeFillShade="D8"/>
      </w:tcPr>
    </w:tblStylePr>
    <w:tblStylePr w:type="band1Horz">
      <w:tblPr/>
      <w:tcPr>
        <w:shd w:val="clear" w:color="000000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8D8D8" w:themeFill="background1" w:themeFillShade="D8"/>
      </w:tcPr>
    </w:tblStylePr>
    <w:tblStylePr w:type="band1Horz">
      <w:tblPr/>
      <w:tcPr>
        <w:shd w:val="clear" w:color="000000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8D8D8" w:themeFill="background1" w:themeFillShade="D8"/>
      </w:tcPr>
    </w:tblStylePr>
    <w:tblStylePr w:type="band1Horz">
      <w:tblPr/>
      <w:tcPr>
        <w:shd w:val="clear" w:color="000000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8D8D8" w:themeFill="background1" w:themeFillShade="D8"/>
      </w:tcPr>
    </w:tblStylePr>
    <w:tblStylePr w:type="band1Horz">
      <w:tblPr/>
      <w:tcPr>
        <w:shd w:val="clear" w:color="000000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8D8D8" w:themeFill="background1" w:themeFillShade="D8"/>
      </w:tcPr>
    </w:tblStylePr>
    <w:tblStylePr w:type="band1Horz">
      <w:tblPr/>
      <w:tcPr>
        <w:shd w:val="clear" w:color="000000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C0C0C0" w:themeFill="text1" w:themeFillTint="3F"/>
      </w:tcPr>
    </w:tblStylePr>
    <w:tblStylePr w:type="band1Horz">
      <w:tblPr/>
      <w:tcPr>
        <w:shd w:val="clear" w:color="000000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D3DFEE" w:themeFill="accent1" w:themeFillTint="3F"/>
      </w:tcPr>
    </w:tblStylePr>
    <w:tblStylePr w:type="band1Horz">
      <w:tblPr/>
      <w:tcPr>
        <w:shd w:val="clear" w:color="000000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EFD3D2" w:themeFill="accent2" w:themeFillTint="3F"/>
      </w:tcPr>
    </w:tblStylePr>
    <w:tblStylePr w:type="band1Horz">
      <w:tblPr/>
      <w:tcPr>
        <w:shd w:val="clear" w:color="000000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E6EED5" w:themeFill="accent3" w:themeFillTint="3F"/>
      </w:tcPr>
    </w:tblStylePr>
    <w:tblStylePr w:type="band1Horz">
      <w:tblPr/>
      <w:tcPr>
        <w:shd w:val="clear" w:color="000000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DFD8E8" w:themeFill="accent4" w:themeFillTint="3F"/>
      </w:tcPr>
    </w:tblStylePr>
    <w:tblStylePr w:type="band1Horz">
      <w:tblPr/>
      <w:tcPr>
        <w:shd w:val="clear" w:color="000000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D2EAF1" w:themeFill="accent5" w:themeFillTint="3F"/>
      </w:tcPr>
    </w:tblStylePr>
    <w:tblStylePr w:type="band1Horz">
      <w:tblPr/>
      <w:tcPr>
        <w:shd w:val="clear" w:color="000000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FDE4D0" w:themeFill="accent6" w:themeFillTint="3F"/>
      </w:tcPr>
    </w:tblStylePr>
    <w:tblStylePr w:type="band1Horz">
      <w:tblPr/>
      <w:tcPr>
        <w:shd w:val="clear" w:color="000000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000000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C0C0C0" w:themeFill="text1" w:themeFillTint="3F"/>
      </w:tcPr>
    </w:tblStylePr>
    <w:tblStylePr w:type="nwCell">
      <w:tblPr/>
      <w:tcPr>
        <w:shd w:val="clear" w:color="000000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000000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D3DFEE" w:themeFill="accent1" w:themeFillTint="3F"/>
      </w:tcPr>
    </w:tblStylePr>
    <w:tblStylePr w:type="nwCell">
      <w:tblPr/>
      <w:tcPr>
        <w:shd w:val="clear" w:color="000000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000000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EFD3D2" w:themeFill="accent2" w:themeFillTint="3F"/>
      </w:tcPr>
    </w:tblStylePr>
    <w:tblStylePr w:type="nwCell">
      <w:tblPr/>
      <w:tcPr>
        <w:shd w:val="clear" w:color="000000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000000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E6EED5" w:themeFill="accent3" w:themeFillTint="3F"/>
      </w:tcPr>
    </w:tblStylePr>
    <w:tblStylePr w:type="nwCell">
      <w:tblPr/>
      <w:tcPr>
        <w:shd w:val="clear" w:color="000000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000000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DFD8E8" w:themeFill="accent4" w:themeFillTint="3F"/>
      </w:tcPr>
    </w:tblStylePr>
    <w:tblStylePr w:type="nwCell">
      <w:tblPr/>
      <w:tcPr>
        <w:shd w:val="clear" w:color="000000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000000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D2EAF1" w:themeFill="accent5" w:themeFillTint="3F"/>
      </w:tcPr>
    </w:tblStylePr>
    <w:tblStylePr w:type="nwCell">
      <w:tblPr/>
      <w:tcPr>
        <w:shd w:val="clear" w:color="000000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000000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FDE4D0" w:themeFill="accent6" w:themeFillTint="3F"/>
      </w:tcPr>
    </w:tblStylePr>
    <w:tblStylePr w:type="nwCell">
      <w:tblPr/>
      <w:tcPr>
        <w:shd w:val="clear" w:color="000000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808080" w:themeFill="text1" w:themeFillTint="7F"/>
      </w:tcPr>
    </w:tblStylePr>
    <w:tblStylePr w:type="band1Horz">
      <w:tblPr/>
      <w:tcPr>
        <w:shd w:val="clear" w:color="000000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A7BFDE" w:themeFill="accent1" w:themeFillTint="7F"/>
      </w:tcPr>
    </w:tblStylePr>
    <w:tblStylePr w:type="band1Horz">
      <w:tblPr/>
      <w:tcPr>
        <w:shd w:val="clear" w:color="000000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DFA7A6" w:themeFill="accent2" w:themeFillTint="7F"/>
      </w:tcPr>
    </w:tblStylePr>
    <w:tblStylePr w:type="band1Horz">
      <w:tblPr/>
      <w:tcPr>
        <w:shd w:val="clear" w:color="000000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CDDDAC" w:themeFill="accent3" w:themeFillTint="7F"/>
      </w:tcPr>
    </w:tblStylePr>
    <w:tblStylePr w:type="band1Horz">
      <w:tblPr/>
      <w:tcPr>
        <w:shd w:val="clear" w:color="000000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BFB1D0" w:themeFill="accent4" w:themeFillTint="7F"/>
      </w:tcPr>
    </w:tblStylePr>
    <w:tblStylePr w:type="band1Horz">
      <w:tblPr/>
      <w:tcPr>
        <w:shd w:val="clear" w:color="000000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A5D5E2" w:themeFill="accent5" w:themeFillTint="7F"/>
      </w:tcPr>
    </w:tblStylePr>
    <w:tblStylePr w:type="band1Horz">
      <w:tblPr/>
      <w:tcPr>
        <w:shd w:val="clear" w:color="000000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FBCAA2" w:themeFill="accent6" w:themeFillTint="7F"/>
      </w:tcPr>
    </w:tblStylePr>
    <w:tblStylePr w:type="band1Horz">
      <w:tblPr/>
      <w:tcPr>
        <w:shd w:val="clear" w:color="000000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C0C0C0" w:themeFill="text1" w:themeFillTint="3F"/>
    </w:tcPr>
    <w:tblStylePr w:type="firstRow">
      <w:rPr>
        <w:b/>
        <w:bCs/>
        <w:color w:val="000000"/>
      </w:rPr>
      <w:tblPr/>
      <w:tcPr>
        <w:shd w:val="clear" w:color="000000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CCCCCC" w:themeFill="text1" w:themeFillTint="33"/>
      </w:tcPr>
    </w:tblStylePr>
    <w:tblStylePr w:type="band1Vert">
      <w:tblPr/>
      <w:tcPr>
        <w:shd w:val="clear" w:color="000000" w:fill="808080" w:themeFill="text1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808080" w:themeFill="text1" w:themeFillTint="7F"/>
      </w:tcPr>
    </w:tblStylePr>
    <w:tblStylePr w:type="nwCell">
      <w:tblPr/>
      <w:tcPr>
        <w:shd w:val="clear" w:color="000000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3DFEE" w:themeFill="accent1" w:themeFillTint="3F"/>
    </w:tcPr>
    <w:tblStylePr w:type="firstRow">
      <w:rPr>
        <w:b/>
        <w:bCs/>
        <w:color w:val="000000"/>
      </w:rPr>
      <w:tblPr/>
      <w:tcPr>
        <w:shd w:val="clear" w:color="000000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DBE5F1" w:themeFill="accent1" w:themeFillTint="33"/>
      </w:tcPr>
    </w:tblStylePr>
    <w:tblStylePr w:type="band1Vert">
      <w:tblPr/>
      <w:tcPr>
        <w:shd w:val="clear" w:color="000000" w:fill="A7BFDE" w:themeFill="accent1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A7BFDE" w:themeFill="accent1" w:themeFillTint="7F"/>
      </w:tcPr>
    </w:tblStylePr>
    <w:tblStylePr w:type="nwCell">
      <w:tblPr/>
      <w:tcPr>
        <w:shd w:val="clear" w:color="000000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FD3D2" w:themeFill="accent2" w:themeFillTint="3F"/>
    </w:tcPr>
    <w:tblStylePr w:type="firstRow">
      <w:rPr>
        <w:b/>
        <w:bCs/>
        <w:color w:val="000000"/>
      </w:rPr>
      <w:tblPr/>
      <w:tcPr>
        <w:shd w:val="clear" w:color="000000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2DBDB" w:themeFill="accent2" w:themeFillTint="33"/>
      </w:tcPr>
    </w:tblStylePr>
    <w:tblStylePr w:type="band1Vert">
      <w:tblPr/>
      <w:tcPr>
        <w:shd w:val="clear" w:color="000000" w:fill="DFA7A6" w:themeFill="accent2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DFA7A6" w:themeFill="accent2" w:themeFillTint="7F"/>
      </w:tcPr>
    </w:tblStylePr>
    <w:tblStylePr w:type="nwCell">
      <w:tblPr/>
      <w:tcPr>
        <w:shd w:val="clear" w:color="000000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6EED5" w:themeFill="accent3" w:themeFillTint="3F"/>
    </w:tcPr>
    <w:tblStylePr w:type="firstRow">
      <w:rPr>
        <w:b/>
        <w:bCs/>
        <w:color w:val="000000"/>
      </w:rPr>
      <w:tblPr/>
      <w:tcPr>
        <w:shd w:val="clear" w:color="000000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EAF1DD" w:themeFill="accent3" w:themeFillTint="33"/>
      </w:tcPr>
    </w:tblStylePr>
    <w:tblStylePr w:type="band1Vert">
      <w:tblPr/>
      <w:tcPr>
        <w:shd w:val="clear" w:color="000000" w:fill="CDDDAC" w:themeFill="accent3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CDDDAC" w:themeFill="accent3" w:themeFillTint="7F"/>
      </w:tcPr>
    </w:tblStylePr>
    <w:tblStylePr w:type="nwCell">
      <w:tblPr/>
      <w:tcPr>
        <w:shd w:val="clear" w:color="000000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FD8E8" w:themeFill="accent4" w:themeFillTint="3F"/>
    </w:tcPr>
    <w:tblStylePr w:type="firstRow">
      <w:rPr>
        <w:b/>
        <w:bCs/>
        <w:color w:val="000000"/>
      </w:rPr>
      <w:tblPr/>
      <w:tcPr>
        <w:shd w:val="clear" w:color="000000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E5DFEC" w:themeFill="accent4" w:themeFillTint="33"/>
      </w:tcPr>
    </w:tblStylePr>
    <w:tblStylePr w:type="band1Vert">
      <w:tblPr/>
      <w:tcPr>
        <w:shd w:val="clear" w:color="000000" w:fill="BFB1D0" w:themeFill="accent4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BFB1D0" w:themeFill="accent4" w:themeFillTint="7F"/>
      </w:tcPr>
    </w:tblStylePr>
    <w:tblStylePr w:type="nwCell">
      <w:tblPr/>
      <w:tcPr>
        <w:shd w:val="clear" w:color="000000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2EAF1" w:themeFill="accent5" w:themeFillTint="3F"/>
    </w:tcPr>
    <w:tblStylePr w:type="firstRow">
      <w:rPr>
        <w:b/>
        <w:bCs/>
        <w:color w:val="000000"/>
      </w:rPr>
      <w:tblPr/>
      <w:tcPr>
        <w:shd w:val="clear" w:color="000000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DAEEF3" w:themeFill="accent5" w:themeFillTint="33"/>
      </w:tcPr>
    </w:tblStylePr>
    <w:tblStylePr w:type="band1Vert">
      <w:tblPr/>
      <w:tcPr>
        <w:shd w:val="clear" w:color="000000" w:fill="A5D5E2" w:themeFill="accent5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A5D5E2" w:themeFill="accent5" w:themeFillTint="7F"/>
      </w:tcPr>
    </w:tblStylePr>
    <w:tblStylePr w:type="nwCell">
      <w:tblPr/>
      <w:tcPr>
        <w:shd w:val="clear" w:color="000000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DE4D0" w:themeFill="accent6" w:themeFillTint="3F"/>
    </w:tcPr>
    <w:tblStylePr w:type="firstRow">
      <w:rPr>
        <w:b/>
        <w:bCs/>
        <w:color w:val="000000"/>
      </w:rPr>
      <w:tblPr/>
      <w:tcPr>
        <w:shd w:val="clear" w:color="000000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DE9D9" w:themeFill="accent6" w:themeFillTint="33"/>
      </w:tcPr>
    </w:tblStylePr>
    <w:tblStylePr w:type="band1Vert">
      <w:tblPr/>
      <w:tcPr>
        <w:shd w:val="clear" w:color="000000" w:fill="FBCAA2" w:themeFill="accent6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FBCAA2" w:themeFill="accent6" w:themeFillTint="7F"/>
      </w:tcPr>
    </w:tblStylePr>
    <w:tblStylePr w:type="nwCell">
      <w:tblPr/>
      <w:tcPr>
        <w:shd w:val="clear" w:color="000000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000000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000000" w:fill="000000" w:themeFill="text1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808080" w:themeFill="text1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000000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000000" w:fill="4F81BD" w:themeFill="accent1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A7BFDE" w:themeFill="accent1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000000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000000" w:fill="C0504D" w:themeFill="accent2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DFA7A6" w:themeFill="accent2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000000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000000" w:fill="9BBB59" w:themeFill="accent3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CDDDAC" w:themeFill="accent3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000000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000000" w:fill="8064A2" w:themeFill="accent4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BFB1D0" w:themeFill="accent4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000000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000000" w:fill="4BACC6" w:themeFill="accent5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A5D5E2" w:themeFill="accent5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000000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000000" w:fill="F79646" w:themeFill="accent6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FBCAA2" w:themeFill="accent6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000000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000000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000000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000000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000000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000000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000000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000000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000000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000000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000000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000000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000000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000000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000000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000000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000000" w:themeFill="text1" w:themeFillShade="BF"/>
      </w:tcPr>
    </w:tblStylePr>
    <w:tblStylePr w:type="band1Vert">
      <w:tblPr/>
      <w:tcPr>
        <w:shd w:val="clear" w:color="000000" w:fill="999999" w:themeFill="text1" w:themeFillTint="66"/>
      </w:tcPr>
    </w:tblStylePr>
    <w:tblStylePr w:type="band1Horz">
      <w:tblPr/>
      <w:tcPr>
        <w:shd w:val="clear" w:color="000000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000000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000000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2C4C74" w:themeFill="accent1" w:themeFillShade="99"/>
      </w:tcPr>
    </w:tblStylePr>
    <w:tblStylePr w:type="band1Vert">
      <w:tblPr/>
      <w:tcPr>
        <w:shd w:val="clear" w:color="000000" w:fill="B8CCE4" w:themeFill="accent1" w:themeFillTint="66"/>
      </w:tcPr>
    </w:tblStylePr>
    <w:tblStylePr w:type="band1Horz">
      <w:tblPr/>
      <w:tcPr>
        <w:shd w:val="clear" w:color="000000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000000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000000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772C2A" w:themeFill="accent2" w:themeFillShade="99"/>
      </w:tcPr>
    </w:tblStylePr>
    <w:tblStylePr w:type="band1Vert">
      <w:tblPr/>
      <w:tcPr>
        <w:shd w:val="clear" w:color="000000" w:fill="E5B8B7" w:themeFill="accent2" w:themeFillTint="66"/>
      </w:tcPr>
    </w:tblStylePr>
    <w:tblStylePr w:type="band1Horz">
      <w:tblPr/>
      <w:tcPr>
        <w:shd w:val="clear" w:color="000000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000000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000000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5E7530" w:themeFill="accent3" w:themeFillShade="99"/>
      </w:tcPr>
    </w:tblStylePr>
    <w:tblStylePr w:type="band1Vert">
      <w:tblPr/>
      <w:tcPr>
        <w:shd w:val="clear" w:color="000000" w:fill="D6E3BC" w:themeFill="accent3" w:themeFillTint="66"/>
      </w:tcPr>
    </w:tblStylePr>
    <w:tblStylePr w:type="band1Horz">
      <w:tblPr/>
      <w:tcPr>
        <w:shd w:val="clear" w:color="000000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000000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000000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4C3B62" w:themeFill="accent4" w:themeFillShade="99"/>
      </w:tcPr>
    </w:tblStylePr>
    <w:tblStylePr w:type="band1Vert">
      <w:tblPr/>
      <w:tcPr>
        <w:shd w:val="clear" w:color="000000" w:fill="CCC0D9" w:themeFill="accent4" w:themeFillTint="66"/>
      </w:tcPr>
    </w:tblStylePr>
    <w:tblStylePr w:type="band1Horz">
      <w:tblPr/>
      <w:tcPr>
        <w:shd w:val="clear" w:color="000000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000000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000000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276A7C" w:themeFill="accent5" w:themeFillShade="99"/>
      </w:tcPr>
    </w:tblStylePr>
    <w:tblStylePr w:type="band1Vert">
      <w:tblPr/>
      <w:tcPr>
        <w:shd w:val="clear" w:color="000000" w:fill="B6DDE8" w:themeFill="accent5" w:themeFillTint="66"/>
      </w:tcPr>
    </w:tblStylePr>
    <w:tblStylePr w:type="band1Horz">
      <w:tblPr/>
      <w:tcPr>
        <w:shd w:val="clear" w:color="000000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000000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000000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B65608" w:themeFill="accent6" w:themeFillShade="99"/>
      </w:tcPr>
    </w:tblStylePr>
    <w:tblStylePr w:type="band1Vert">
      <w:tblPr/>
      <w:tcPr>
        <w:shd w:val="clear" w:color="000000" w:fill="FBD4B4" w:themeFill="accent6" w:themeFillTint="66"/>
      </w:tcPr>
    </w:tblStylePr>
    <w:tblStylePr w:type="band1Horz">
      <w:tblPr/>
      <w:tcPr>
        <w:shd w:val="clear" w:color="000000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000000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000000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C0C0C0" w:themeFill="text1" w:themeFillTint="3F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000000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000000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D3DFEE" w:themeFill="accent1" w:themeFillTint="3F"/>
      </w:tcPr>
    </w:tblStylePr>
    <w:tblStylePr w:type="band1Horz">
      <w:tblPr/>
      <w:tcPr>
        <w:shd w:val="clear" w:color="000000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000000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000000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EFD3D2" w:themeFill="accent2" w:themeFillTint="3F"/>
      </w:tcPr>
    </w:tblStylePr>
    <w:tblStylePr w:type="band1Horz">
      <w:tblPr/>
      <w:tcPr>
        <w:shd w:val="clear" w:color="000000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000000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000000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E6EED5" w:themeFill="accent3" w:themeFillTint="3F"/>
      </w:tcPr>
    </w:tblStylePr>
    <w:tblStylePr w:type="band1Horz">
      <w:tblPr/>
      <w:tcPr>
        <w:shd w:val="clear" w:color="000000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000000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000000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DFD8E8" w:themeFill="accent4" w:themeFillTint="3F"/>
      </w:tcPr>
    </w:tblStylePr>
    <w:tblStylePr w:type="band1Horz">
      <w:tblPr/>
      <w:tcPr>
        <w:shd w:val="clear" w:color="000000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000000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000000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D2EAF1" w:themeFill="accent5" w:themeFillTint="3F"/>
      </w:tcPr>
    </w:tblStylePr>
    <w:tblStylePr w:type="band1Horz">
      <w:tblPr/>
      <w:tcPr>
        <w:shd w:val="clear" w:color="000000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000000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000000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DE4D0" w:themeFill="accent6" w:themeFillTint="3F"/>
      </w:tcPr>
    </w:tblStylePr>
    <w:tblStylePr w:type="band1Horz">
      <w:tblPr/>
      <w:tcPr>
        <w:shd w:val="clear" w:color="000000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CCCCCC" w:themeFill="text1" w:themeFillTint="33"/>
    </w:tcPr>
    <w:tblStylePr w:type="firstRow">
      <w:rPr>
        <w:b/>
        <w:bCs/>
      </w:rPr>
      <w:tblPr/>
      <w:tcPr>
        <w:shd w:val="clear" w:color="000000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000000" w:fill="999999" w:themeFill="text1" w:themeFillTint="66"/>
      </w:tcPr>
    </w:tblStylePr>
    <w:tblStylePr w:type="firstCol">
      <w:rPr>
        <w:color w:val="000000"/>
      </w:rPr>
      <w:tblPr/>
      <w:tcPr>
        <w:shd w:val="clear" w:color="000000" w:fill="000000" w:themeFill="text1" w:themeFillShade="BF"/>
      </w:tcPr>
    </w:tblStylePr>
    <w:tblStylePr w:type="lastCol">
      <w:rPr>
        <w:color w:val="000000"/>
      </w:rPr>
      <w:tblPr/>
      <w:tcPr>
        <w:shd w:val="clear" w:color="000000" w:fill="000000" w:themeFill="text1" w:themeFillShade="BF"/>
      </w:tcPr>
    </w:tblStylePr>
    <w:tblStylePr w:type="band1Vert">
      <w:tblPr/>
      <w:tcPr>
        <w:shd w:val="clear" w:color="000000" w:fill="808080" w:themeFill="text1" w:themeFillTint="7F"/>
      </w:tcPr>
    </w:tblStylePr>
    <w:tblStylePr w:type="band1Horz">
      <w:tblPr/>
      <w:tcPr>
        <w:shd w:val="clear" w:color="000000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BE5F1" w:themeFill="accent1" w:themeFillTint="33"/>
    </w:tcPr>
    <w:tblStylePr w:type="firstRow">
      <w:rPr>
        <w:b/>
        <w:bCs/>
      </w:rPr>
      <w:tblPr/>
      <w:tcPr>
        <w:shd w:val="clear" w:color="000000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000000" w:fill="B8CCE4" w:themeFill="accent1" w:themeFillTint="66"/>
      </w:tcPr>
    </w:tblStylePr>
    <w:tblStylePr w:type="firstCol">
      <w:rPr>
        <w:color w:val="000000"/>
      </w:rPr>
      <w:tblPr/>
      <w:tcPr>
        <w:shd w:val="clear" w:color="000000" w:fill="365F91" w:themeFill="accent1" w:themeFillShade="BF"/>
      </w:tcPr>
    </w:tblStylePr>
    <w:tblStylePr w:type="lastCol">
      <w:rPr>
        <w:color w:val="000000"/>
      </w:rPr>
      <w:tblPr/>
      <w:tcPr>
        <w:shd w:val="clear" w:color="000000" w:fill="365F91" w:themeFill="accent1" w:themeFillShade="BF"/>
      </w:tcPr>
    </w:tblStylePr>
    <w:tblStylePr w:type="band1Vert">
      <w:tblPr/>
      <w:tcPr>
        <w:shd w:val="clear" w:color="000000" w:fill="A7BFDE" w:themeFill="accent1" w:themeFillTint="7F"/>
      </w:tcPr>
    </w:tblStylePr>
    <w:tblStylePr w:type="band1Horz">
      <w:tblPr/>
      <w:tcPr>
        <w:shd w:val="clear" w:color="000000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2DBDB" w:themeFill="accent2" w:themeFillTint="33"/>
    </w:tcPr>
    <w:tblStylePr w:type="firstRow">
      <w:rPr>
        <w:b/>
        <w:bCs/>
      </w:rPr>
      <w:tblPr/>
      <w:tcPr>
        <w:shd w:val="clear" w:color="000000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000000" w:fill="E5B8B7" w:themeFill="accent2" w:themeFillTint="66"/>
      </w:tcPr>
    </w:tblStylePr>
    <w:tblStylePr w:type="firstCol">
      <w:rPr>
        <w:color w:val="000000"/>
      </w:rPr>
      <w:tblPr/>
      <w:tcPr>
        <w:shd w:val="clear" w:color="000000" w:fill="943634" w:themeFill="accent2" w:themeFillShade="BF"/>
      </w:tcPr>
    </w:tblStylePr>
    <w:tblStylePr w:type="lastCol">
      <w:rPr>
        <w:color w:val="000000"/>
      </w:rPr>
      <w:tblPr/>
      <w:tcPr>
        <w:shd w:val="clear" w:color="000000" w:fill="943634" w:themeFill="accent2" w:themeFillShade="BF"/>
      </w:tcPr>
    </w:tblStylePr>
    <w:tblStylePr w:type="band1Vert">
      <w:tblPr/>
      <w:tcPr>
        <w:shd w:val="clear" w:color="000000" w:fill="DFA7A6" w:themeFill="accent2" w:themeFillTint="7F"/>
      </w:tcPr>
    </w:tblStylePr>
    <w:tblStylePr w:type="band1Horz">
      <w:tblPr/>
      <w:tcPr>
        <w:shd w:val="clear" w:color="000000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AF1DD" w:themeFill="accent3" w:themeFillTint="33"/>
    </w:tcPr>
    <w:tblStylePr w:type="firstRow">
      <w:rPr>
        <w:b/>
        <w:bCs/>
      </w:rPr>
      <w:tblPr/>
      <w:tcPr>
        <w:shd w:val="clear" w:color="000000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000000" w:fill="D6E3BC" w:themeFill="accent3" w:themeFillTint="66"/>
      </w:tcPr>
    </w:tblStylePr>
    <w:tblStylePr w:type="firstCol">
      <w:rPr>
        <w:color w:val="000000"/>
      </w:rPr>
      <w:tblPr/>
      <w:tcPr>
        <w:shd w:val="clear" w:color="000000" w:fill="76923C" w:themeFill="accent3" w:themeFillShade="BF"/>
      </w:tcPr>
    </w:tblStylePr>
    <w:tblStylePr w:type="lastCol">
      <w:rPr>
        <w:color w:val="000000"/>
      </w:rPr>
      <w:tblPr/>
      <w:tcPr>
        <w:shd w:val="clear" w:color="000000" w:fill="76923C" w:themeFill="accent3" w:themeFillShade="BF"/>
      </w:tcPr>
    </w:tblStylePr>
    <w:tblStylePr w:type="band1Vert">
      <w:tblPr/>
      <w:tcPr>
        <w:shd w:val="clear" w:color="000000" w:fill="CDDDAC" w:themeFill="accent3" w:themeFillTint="7F"/>
      </w:tcPr>
    </w:tblStylePr>
    <w:tblStylePr w:type="band1Horz">
      <w:tblPr/>
      <w:tcPr>
        <w:shd w:val="clear" w:color="000000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5DFEC" w:themeFill="accent4" w:themeFillTint="33"/>
    </w:tcPr>
    <w:tblStylePr w:type="firstRow">
      <w:rPr>
        <w:b/>
        <w:bCs/>
      </w:rPr>
      <w:tblPr/>
      <w:tcPr>
        <w:shd w:val="clear" w:color="000000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000000" w:fill="CCC0D9" w:themeFill="accent4" w:themeFillTint="66"/>
      </w:tcPr>
    </w:tblStylePr>
    <w:tblStylePr w:type="firstCol">
      <w:rPr>
        <w:color w:val="000000"/>
      </w:rPr>
      <w:tblPr/>
      <w:tcPr>
        <w:shd w:val="clear" w:color="000000" w:fill="5F497A" w:themeFill="accent4" w:themeFillShade="BF"/>
      </w:tcPr>
    </w:tblStylePr>
    <w:tblStylePr w:type="lastCol">
      <w:rPr>
        <w:color w:val="000000"/>
      </w:rPr>
      <w:tblPr/>
      <w:tcPr>
        <w:shd w:val="clear" w:color="000000" w:fill="5F497A" w:themeFill="accent4" w:themeFillShade="BF"/>
      </w:tcPr>
    </w:tblStylePr>
    <w:tblStylePr w:type="band1Vert">
      <w:tblPr/>
      <w:tcPr>
        <w:shd w:val="clear" w:color="000000" w:fill="BFB1D0" w:themeFill="accent4" w:themeFillTint="7F"/>
      </w:tcPr>
    </w:tblStylePr>
    <w:tblStylePr w:type="band1Horz">
      <w:tblPr/>
      <w:tcPr>
        <w:shd w:val="clear" w:color="000000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AEEF3" w:themeFill="accent5" w:themeFillTint="33"/>
    </w:tcPr>
    <w:tblStylePr w:type="firstRow">
      <w:rPr>
        <w:b/>
        <w:bCs/>
      </w:rPr>
      <w:tblPr/>
      <w:tcPr>
        <w:shd w:val="clear" w:color="000000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000000" w:fill="B6DDE8" w:themeFill="accent5" w:themeFillTint="66"/>
      </w:tcPr>
    </w:tblStylePr>
    <w:tblStylePr w:type="firstCol">
      <w:rPr>
        <w:color w:val="000000"/>
      </w:rPr>
      <w:tblPr/>
      <w:tcPr>
        <w:shd w:val="clear" w:color="000000" w:fill="31849B" w:themeFill="accent5" w:themeFillShade="BF"/>
      </w:tcPr>
    </w:tblStylePr>
    <w:tblStylePr w:type="lastCol">
      <w:rPr>
        <w:color w:val="000000"/>
      </w:rPr>
      <w:tblPr/>
      <w:tcPr>
        <w:shd w:val="clear" w:color="000000" w:fill="31849B" w:themeFill="accent5" w:themeFillShade="BF"/>
      </w:tcPr>
    </w:tblStylePr>
    <w:tblStylePr w:type="band1Vert">
      <w:tblPr/>
      <w:tcPr>
        <w:shd w:val="clear" w:color="000000" w:fill="A5D5E2" w:themeFill="accent5" w:themeFillTint="7F"/>
      </w:tcPr>
    </w:tblStylePr>
    <w:tblStylePr w:type="band1Horz">
      <w:tblPr/>
      <w:tcPr>
        <w:shd w:val="clear" w:color="000000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DE9D9" w:themeFill="accent6" w:themeFillTint="33"/>
    </w:tcPr>
    <w:tblStylePr w:type="firstRow">
      <w:rPr>
        <w:b/>
        <w:bCs/>
      </w:rPr>
      <w:tblPr/>
      <w:tcPr>
        <w:shd w:val="clear" w:color="000000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000000" w:fill="FBD4B4" w:themeFill="accent6" w:themeFillTint="66"/>
      </w:tcPr>
    </w:tblStylePr>
    <w:tblStylePr w:type="firstCol">
      <w:rPr>
        <w:color w:val="000000"/>
      </w:rPr>
      <w:tblPr/>
      <w:tcPr>
        <w:shd w:val="clear" w:color="000000" w:fill="E36C0A" w:themeFill="accent6" w:themeFillShade="BF"/>
      </w:tcPr>
    </w:tblStylePr>
    <w:tblStylePr w:type="lastCol">
      <w:rPr>
        <w:color w:val="000000"/>
      </w:rPr>
      <w:tblPr/>
      <w:tcPr>
        <w:shd w:val="clear" w:color="000000" w:fill="E36C0A" w:themeFill="accent6" w:themeFillShade="BF"/>
      </w:tcPr>
    </w:tblStylePr>
    <w:tblStylePr w:type="band1Vert">
      <w:tblPr/>
      <w:tcPr>
        <w:shd w:val="clear" w:color="000000" w:fill="FBCAA2" w:themeFill="accent6" w:themeFillTint="7F"/>
      </w:tcPr>
    </w:tblStylePr>
    <w:tblStylePr w:type="band1Horz">
      <w:tblPr/>
      <w:tcPr>
        <w:shd w:val="clear" w:color="000000" w:fill="FBCAA2" w:themeFill="accent6" w:themeFillTint="7F"/>
      </w:tcPr>
    </w:tblStylePr>
  </w:style>
  <w:style w:type="paragraph" w:customStyle="1" w:styleId="GOSTList">
    <w:name w:val="GOST List"/>
    <w:pPr>
      <w:spacing w:before="0" w:after="0" w:line="360" w:lineRule="auto"/>
      <w:ind w:hanging="357" w:left="709"/>
      <w:jc w:val="both"/>
    </w:pPr>
    <w:rPr>
      <w:rFonts w:ascii="Times New Roman" w:hAnsi="Times New Roman" w:eastAsia="Times New Roman" w:cs="Times New Roman"/>
      <w:b w:val="0"/>
      <w:i w:val="0"/>
      <w:color w:val="000000"/>
      <w:sz w:val="28"/>
      <w:u w:val="none"/>
    </w:rPr>
  </w:style>
  <w:style w:type="paragraph" w:customStyle="1" w:styleId="GOSTQuote">
    <w:name w:val="GOST Quote"/>
    <w:pPr>
      <w:spacing w:before="0" w:after="0" w:line="360" w:lineRule="auto"/>
      <w:ind w:left="709" w:firstLine="0"/>
      <w:jc w:val="both"/>
    </w:pPr>
    <w:rPr>
      <w:rFonts w:ascii="Times New Roman" w:hAnsi="Times New Roman" w:eastAsia="Times New Roman" w:cs="Times New Roman"/>
      <w:b w:val="0"/>
      <w:i/>
      <w:color w:val="000000"/>
      <w:sz w:val="28"/>
      <w:u w:val="none"/>
    </w:rPr>
  </w:style>
  <w:style w:type="paragraph" w:customStyle="1" w:styleId="GOSTCode">
    <w:name w:val="GOST Code"/>
    <w:pPr>
      <w:spacing w:before="60" w:after="60" w:line="240" w:lineRule="auto"/>
      <w:ind w:left="709" w:firstLine="0"/>
    </w:pPr>
    <w:rPr>
      <w:rFonts w:ascii="Times New Roman" w:hAnsi="Times New Roman" w:eastAsia="Times New Roman" w:cs="Times New Roman"/>
      <w:b w:val="0"/>
      <w:i w:val="0"/>
      <w:color w:val="000000"/>
      <w:sz w:val="24"/>
      <w:u w:val="none"/>
    </w:rPr>
  </w:style>
  <w:style w:type="paragraph" w:customStyle="1" w:styleId="GOSTCaption">
    <w:name w:val="GOST Caption"/>
    <w:pPr>
      <w:spacing w:before="0" w:after="0" w:line="240" w:lineRule="auto"/>
      <w:ind w:firstLine="0"/>
      <w:jc w:val="center"/>
    </w:pPr>
    <w:rPr>
      <w:rFonts w:ascii="Times New Roman" w:hAnsi="Times New Roman" w:eastAsia="Times New Roman" w:cs="Times New Roman"/>
      <w:b w:val="0"/>
      <w:i w:val="0"/>
      <w:color w:val="000000"/>
      <w:sz w:val="24"/>
      <w:u w:val="none"/>
    </w:rPr>
  </w:style>
  <w:style w:type="paragraph" w:customStyle="1" w:styleId="GOSTFigureSource">
    <w:name w:val="GOST Figure Source"/>
    <w:pPr>
      <w:spacing w:before="0" w:after="0" w:line="240" w:lineRule="auto"/>
      <w:ind w:firstLine="0"/>
      <w:jc w:val="center"/>
    </w:pPr>
    <w:rPr>
      <w:rFonts w:ascii="Times New Roman" w:hAnsi="Times New Roman" w:eastAsia="Times New Roman" w:cs="Times New Roman"/>
      <w:b w:val="0"/>
      <w:i w:val="0"/>
      <w:color w:val="000000"/>
      <w:sz w:val="24"/>
      <w:u w:val="none"/>
    </w:rPr>
  </w:style>
  <w:style w:type="paragraph" w:customStyle="1" w:styleId="GOSTFigureReference">
    <w:name w:val="GOST Figure Reference"/>
    <w:pPr>
      <w:keepNext/>
      <w:spacing w:before="0" w:after="0" w:line="360" w:lineRule="auto"/>
      <w:ind w:firstLine="709"/>
      <w:jc w:val="both"/>
    </w:pPr>
    <w:rPr>
      <w:rFonts w:ascii="Times New Roman" w:hAnsi="Times New Roman" w:eastAsia="Times New Roman" w:cs="Times New Roman"/>
      <w:b w:val="0"/>
      <w:i w:val="0"/>
      <w:color w:val="000000"/>
      <w:sz w:val="28"/>
      <w:u w:val="none"/>
    </w:rPr>
  </w:style>
  <w:style w:type="paragraph" w:customStyle="1" w:styleId="GOSTTableCaption">
    <w:name w:val="GOST Table Caption"/>
    <w:pPr>
      <w:keepNext/>
      <w:spacing w:before="0" w:after="0" w:line="240" w:lineRule="auto"/>
      <w:ind w:firstLine="0"/>
      <w:jc w:val="left"/>
    </w:pPr>
    <w:rPr>
      <w:rFonts w:ascii="Times New Roman" w:hAnsi="Times New Roman" w:eastAsia="Times New Roman" w:cs="Times New Roman"/>
      <w:b w:val="0"/>
      <w:i w:val="0"/>
      <w:color w:val="000000"/>
      <w:sz w:val="24"/>
      <w:u w:val="none"/>
    </w:rPr>
  </w:style>
  <w:style w:type="paragraph" w:customStyle="1" w:styleId="GOSTTableReference">
    <w:name w:val="GOST Table Reference"/>
    <w:pPr>
      <w:keepNext/>
      <w:spacing w:before="0" w:after="0" w:line="360" w:lineRule="auto"/>
      <w:ind w:firstLine="709"/>
      <w:jc w:val="both"/>
    </w:pPr>
    <w:rPr>
      <w:rFonts w:ascii="Times New Roman" w:hAnsi="Times New Roman" w:eastAsia="Times New Roman" w:cs="Times New Roman"/>
      <w:b w:val="0"/>
      <w:i w:val="0"/>
      <w:color w:val="000000"/>
      <w:sz w:val="28"/>
      <w:u w:val="none"/>
    </w:rPr>
  </w:style>
  <w:style w:type="paragraph" w:customStyle="1" w:styleId="GOSTCoverMetadata">
    <w:name w:val="GOST Cover Metadata"/>
    <w:pPr>
      <w:spacing w:before="0" w:after="120" w:line="360" w:lineRule="auto"/>
      <w:ind w:firstLine="0"/>
      <w:jc w:val="center"/>
    </w:pPr>
    <w:rPr>
      <w:rFonts w:ascii="Times New Roman" w:hAnsi="Times New Roman" w:eastAsia="Times New Roman" w:cs="Times New Roman"/>
      <w:b w:val="0"/>
      <w:i w:val="0"/>
      <w:color w:val="000000"/>
      <w:sz w:val="28"/>
      <w:u w:val="none"/>
    </w:rPr>
  </w:style>
  <w:style w:type="paragraph" w:customStyle="1" w:styleId="GOSTNavigation">
    <w:name w:val="GOST Navigation"/>
    <w:pPr>
      <w:spacing w:before="0" w:after="60" w:line="240" w:lineRule="auto"/>
      <w:ind w:firstLine="0"/>
    </w:pPr>
    <w:rPr>
      <w:rFonts w:ascii="Times New Roman" w:hAnsi="Times New Roman" w:eastAsia="Times New Roman" w:cs="Times New Roman"/>
      <w:b w:val="0"/>
      <w:i w:val="0"/>
      <w:color w:val="000000"/>
      <w:sz w:val="28"/>
      <w:u w:val="none"/>
    </w:rPr>
  </w:style>
</w:styles>
</file>

<file path=word/stylesWithEffect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b w:val="0"/>
      <w:i w:val="0"/>
      <w:color w:val="000000"/>
      <w:sz w:val="28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eastAsia="Times New Roman" w:cs="Times New Roman"/>
      <w:color w:val="000000"/>
      <w:u w:val="none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eastAsia="Times New Roman" w:cs="Times New Roman"/>
      <w:color w:val="000000"/>
      <w:u w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 w:left="0"/>
      <w:jc w:val="center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 w:left="0"/>
      <w:jc w:val="left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ind w:firstLine="0" w:left="0"/>
      <w:jc w:val="left"/>
      <w:outlineLvl w:val="2"/>
    </w:pPr>
    <w:rPr>
      <w:rFonts w:ascii="Times New Roman" w:hAnsi="Times New Roman" w:eastAsia="Times New Roman" w:cs="Times New Roman"/>
      <w:b/>
      <w:bCs/>
      <w:i w:val="0"/>
      <w:color w:val="000000"/>
      <w:sz w:val="28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120" w:line="360" w:lineRule="auto"/>
      <w:ind w:firstLine="0" w:left="0"/>
      <w:jc w:val="left"/>
      <w:outlineLvl w:val="3"/>
    </w:pPr>
    <w:rPr>
      <w:rFonts w:ascii="Times New Roman" w:hAnsi="Times New Roman" w:eastAsia="Times New Roman" w:cs="Times New Roman"/>
      <w:b/>
      <w:bCs/>
      <w:i w:val="0"/>
      <w:iCs/>
      <w:color w:val="000000"/>
      <w:sz w:val="28"/>
      <w:u w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000000"/>
      <w:u w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000000"/>
      <w:u w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000000"/>
      <w:u w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000000"/>
      <w:sz w:val="20"/>
      <w:szCs w:val="20"/>
      <w:u w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000000"/>
      <w:sz w:val="20"/>
      <w:szCs w:val="20"/>
      <w:u w:val="none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Times New Roman" w:cs="Times New Roman"/>
      <w:b w:val="0"/>
      <w:i w:val="0"/>
      <w:color w:val="000000"/>
      <w:sz w:val="28"/>
      <w:u w:val="none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 w:eastAsia="Times New Roman" w:cs="Times New Roman"/>
      <w:color w:val="000000"/>
      <w:u w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000000"/>
      <w:sz w:val="28"/>
      <w:szCs w:val="28"/>
      <w:u w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000000"/>
      <w:sz w:val="26"/>
      <w:szCs w:val="26"/>
      <w:u w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000000"/>
      <w:u w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360" w:lineRule="auto" w:before="0"/>
      <w:ind w:firstLine="0"/>
      <w:contextualSpacing/>
      <w:jc w:val="center"/>
    </w:pPr>
    <w:rPr>
      <w:rFonts w:ascii="Times New Roman" w:hAnsi="Times New Roman" w:eastAsia="Times New Roman" w:cs="Times New Roman"/>
      <w:b/>
      <w:i w:val="0"/>
      <w:color w:val="000000"/>
      <w:spacing w:val="5"/>
      <w:kern w:val="28"/>
      <w:sz w:val="2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000000"/>
      <w:spacing w:val="5"/>
      <w:kern w:val="28"/>
      <w:sz w:val="52"/>
      <w:szCs w:val="52"/>
      <w:u w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  <w:u w:val="none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color w:val="000000"/>
      <w:u w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eastAsia="Times New Roman" w:cs="Times New Roman"/>
      <w:color w:val="000000"/>
      <w:u w:val="none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Times New Roman" w:cs="Times New Roman"/>
      <w:color w:val="000000"/>
      <w:u w:val="none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eastAsia="Times New Roman" w:cs="Times New Roman"/>
      <w:color w:val="000000"/>
      <w:u w:val="none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color w:val="000000"/>
      <w:sz w:val="16"/>
      <w:szCs w:val="16"/>
      <w:u w:val="none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eastAsia="Times New Roman" w:cs="Times New Roman"/>
      <w:color w:val="000000"/>
      <w:sz w:val="16"/>
      <w:szCs w:val="16"/>
      <w:u w:val="none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color w:val="000000"/>
      <w:sz w:val="20"/>
      <w:szCs w:val="20"/>
      <w:u w:val="none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color w:val="000000"/>
      <w:sz w:val="20"/>
      <w:szCs w:val="20"/>
      <w:u w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Times New Roman" w:cs="Times New Roman"/>
      <w:i/>
      <w:iCs/>
      <w:color w:val="000000"/>
      <w:u w:val="none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eastAsia="Times New Roman" w:cs="Times New Roman"/>
      <w:i/>
      <w:iCs/>
      <w:color w:val="000000"/>
      <w:u w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000000"/>
      <w:u w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000000"/>
      <w:u w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  <w:u w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  <w:u w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000000"/>
      <w:sz w:val="20"/>
      <w:szCs w:val="20"/>
      <w:u w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  <w:sz w:val="20"/>
      <w:szCs w:val="20"/>
      <w:u w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Times New Roman" w:cs="Times New Roman"/>
      <w:b/>
      <w:bCs/>
      <w:color w:val="000000"/>
      <w:sz w:val="18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eastAsia="Times New Roman" w:cs="Times New Roman"/>
      <w:b/>
      <w:bCs/>
      <w:color w:val="000000"/>
      <w:u w:val="none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eastAsia="Times New Roman" w:cs="Times New Roman"/>
      <w:i/>
      <w:iCs/>
      <w:color w:val="000000"/>
      <w:u w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000000"/>
      </w:pBdr>
      <w:spacing w:before="200" w:after="280"/>
      <w:ind w:left="936" w:right="936"/>
    </w:pPr>
    <w:rPr>
      <w:rFonts w:ascii="Times New Roman" w:hAnsi="Times New Roman" w:eastAsia="Times New Roman" w:cs="Times New Roman"/>
      <w:b/>
      <w:bCs/>
      <w:i/>
      <w:iCs/>
      <w:color w:val="000000"/>
      <w:u w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eastAsia="Times New Roman" w:cs="Times New Roman"/>
      <w:b/>
      <w:bCs/>
      <w:i/>
      <w:iCs/>
      <w:color w:val="000000"/>
      <w:u w:val="none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eastAsia="Times New Roman" w:cs="Times New Roman"/>
      <w:i/>
      <w:iCs/>
      <w:color w:val="000000"/>
      <w:u w:val="none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eastAsia="Times New Roman" w:cs="Times New Roman"/>
      <w:b/>
      <w:bCs/>
      <w:i/>
      <w:iCs/>
      <w:color w:val="000000"/>
      <w:u w:val="none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eastAsia="Times New Roman" w:cs="Times New Roman"/>
      <w:smallCaps/>
      <w:color w:val="000000"/>
      <w:u w:val="non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eastAsia="Times New Roman" w:cs="Times New Roman"/>
      <w:b/>
      <w:bCs/>
      <w:smallCaps/>
      <w:color w:val="000000"/>
      <w:spacing w:val="5"/>
      <w:u w:val="non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eastAsia="Times New Roman" w:cs="Times New Roman"/>
      <w:b/>
      <w:bCs/>
      <w:smallCaps/>
      <w:color w:val="000000"/>
      <w:spacing w:val="5"/>
      <w:u w:val="non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Times New Roman" w:cs="Times New Roman"/>
      <w:color w:val="000000"/>
      <w:u w:val="none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000000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000000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000000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000000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000000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000000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000000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C0C0C0" w:themeFill="text1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C0C0C0" w:themeFill="text1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D3DFEE" w:themeFill="accent1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D3DFEE" w:themeFill="accent1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EFD3D2" w:themeFill="accent2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EFD3D2" w:themeFill="accent2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E6EED5" w:themeFill="accent3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E6EED5" w:themeFill="accent3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DFD8E8" w:themeFill="accent4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DFD8E8" w:themeFill="accent4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D2EAF1" w:themeFill="accent5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D2EAF1" w:themeFill="accent5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FDE4D0" w:themeFill="accent6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FDE4D0" w:themeFill="accent6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8D8D8" w:themeFill="background1" w:themeFillShade="D8"/>
      </w:tcPr>
    </w:tblStylePr>
    <w:tblStylePr w:type="band1Horz">
      <w:tblPr/>
      <w:tcPr>
        <w:shd w:val="clear" w:color="000000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8D8D8" w:themeFill="background1" w:themeFillShade="D8"/>
      </w:tcPr>
    </w:tblStylePr>
    <w:tblStylePr w:type="band1Horz">
      <w:tblPr/>
      <w:tcPr>
        <w:shd w:val="clear" w:color="000000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8D8D8" w:themeFill="background1" w:themeFillShade="D8"/>
      </w:tcPr>
    </w:tblStylePr>
    <w:tblStylePr w:type="band1Horz">
      <w:tblPr/>
      <w:tcPr>
        <w:shd w:val="clear" w:color="000000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8D8D8" w:themeFill="background1" w:themeFillShade="D8"/>
      </w:tcPr>
    </w:tblStylePr>
    <w:tblStylePr w:type="band1Horz">
      <w:tblPr/>
      <w:tcPr>
        <w:shd w:val="clear" w:color="000000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8D8D8" w:themeFill="background1" w:themeFillShade="D8"/>
      </w:tcPr>
    </w:tblStylePr>
    <w:tblStylePr w:type="band1Horz">
      <w:tblPr/>
      <w:tcPr>
        <w:shd w:val="clear" w:color="000000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8D8D8" w:themeFill="background1" w:themeFillShade="D8"/>
      </w:tcPr>
    </w:tblStylePr>
    <w:tblStylePr w:type="band1Horz">
      <w:tblPr/>
      <w:tcPr>
        <w:shd w:val="clear" w:color="000000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8D8D8" w:themeFill="background1" w:themeFillShade="D8"/>
      </w:tcPr>
    </w:tblStylePr>
    <w:tblStylePr w:type="band1Horz">
      <w:tblPr/>
      <w:tcPr>
        <w:shd w:val="clear" w:color="000000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C0C0C0" w:themeFill="text1" w:themeFillTint="3F"/>
      </w:tcPr>
    </w:tblStylePr>
    <w:tblStylePr w:type="band1Horz">
      <w:tblPr/>
      <w:tcPr>
        <w:shd w:val="clear" w:color="000000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D3DFEE" w:themeFill="accent1" w:themeFillTint="3F"/>
      </w:tcPr>
    </w:tblStylePr>
    <w:tblStylePr w:type="band1Horz">
      <w:tblPr/>
      <w:tcPr>
        <w:shd w:val="clear" w:color="000000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EFD3D2" w:themeFill="accent2" w:themeFillTint="3F"/>
      </w:tcPr>
    </w:tblStylePr>
    <w:tblStylePr w:type="band1Horz">
      <w:tblPr/>
      <w:tcPr>
        <w:shd w:val="clear" w:color="000000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E6EED5" w:themeFill="accent3" w:themeFillTint="3F"/>
      </w:tcPr>
    </w:tblStylePr>
    <w:tblStylePr w:type="band1Horz">
      <w:tblPr/>
      <w:tcPr>
        <w:shd w:val="clear" w:color="000000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DFD8E8" w:themeFill="accent4" w:themeFillTint="3F"/>
      </w:tcPr>
    </w:tblStylePr>
    <w:tblStylePr w:type="band1Horz">
      <w:tblPr/>
      <w:tcPr>
        <w:shd w:val="clear" w:color="000000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D2EAF1" w:themeFill="accent5" w:themeFillTint="3F"/>
      </w:tcPr>
    </w:tblStylePr>
    <w:tblStylePr w:type="band1Horz">
      <w:tblPr/>
      <w:tcPr>
        <w:shd w:val="clear" w:color="000000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FDE4D0" w:themeFill="accent6" w:themeFillTint="3F"/>
      </w:tcPr>
    </w:tblStylePr>
    <w:tblStylePr w:type="band1Horz">
      <w:tblPr/>
      <w:tcPr>
        <w:shd w:val="clear" w:color="000000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000000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C0C0C0" w:themeFill="text1" w:themeFillTint="3F"/>
      </w:tcPr>
    </w:tblStylePr>
    <w:tblStylePr w:type="nwCell">
      <w:tblPr/>
      <w:tcPr>
        <w:shd w:val="clear" w:color="000000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000000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D3DFEE" w:themeFill="accent1" w:themeFillTint="3F"/>
      </w:tcPr>
    </w:tblStylePr>
    <w:tblStylePr w:type="nwCell">
      <w:tblPr/>
      <w:tcPr>
        <w:shd w:val="clear" w:color="000000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000000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EFD3D2" w:themeFill="accent2" w:themeFillTint="3F"/>
      </w:tcPr>
    </w:tblStylePr>
    <w:tblStylePr w:type="nwCell">
      <w:tblPr/>
      <w:tcPr>
        <w:shd w:val="clear" w:color="000000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000000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E6EED5" w:themeFill="accent3" w:themeFillTint="3F"/>
      </w:tcPr>
    </w:tblStylePr>
    <w:tblStylePr w:type="nwCell">
      <w:tblPr/>
      <w:tcPr>
        <w:shd w:val="clear" w:color="000000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000000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DFD8E8" w:themeFill="accent4" w:themeFillTint="3F"/>
      </w:tcPr>
    </w:tblStylePr>
    <w:tblStylePr w:type="nwCell">
      <w:tblPr/>
      <w:tcPr>
        <w:shd w:val="clear" w:color="000000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000000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D2EAF1" w:themeFill="accent5" w:themeFillTint="3F"/>
      </w:tcPr>
    </w:tblStylePr>
    <w:tblStylePr w:type="nwCell">
      <w:tblPr/>
      <w:tcPr>
        <w:shd w:val="clear" w:color="000000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000000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FDE4D0" w:themeFill="accent6" w:themeFillTint="3F"/>
      </w:tcPr>
    </w:tblStylePr>
    <w:tblStylePr w:type="nwCell">
      <w:tblPr/>
      <w:tcPr>
        <w:shd w:val="clear" w:color="000000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808080" w:themeFill="text1" w:themeFillTint="7F"/>
      </w:tcPr>
    </w:tblStylePr>
    <w:tblStylePr w:type="band1Horz">
      <w:tblPr/>
      <w:tcPr>
        <w:shd w:val="clear" w:color="000000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A7BFDE" w:themeFill="accent1" w:themeFillTint="7F"/>
      </w:tcPr>
    </w:tblStylePr>
    <w:tblStylePr w:type="band1Horz">
      <w:tblPr/>
      <w:tcPr>
        <w:shd w:val="clear" w:color="000000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DFA7A6" w:themeFill="accent2" w:themeFillTint="7F"/>
      </w:tcPr>
    </w:tblStylePr>
    <w:tblStylePr w:type="band1Horz">
      <w:tblPr/>
      <w:tcPr>
        <w:shd w:val="clear" w:color="000000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CDDDAC" w:themeFill="accent3" w:themeFillTint="7F"/>
      </w:tcPr>
    </w:tblStylePr>
    <w:tblStylePr w:type="band1Horz">
      <w:tblPr/>
      <w:tcPr>
        <w:shd w:val="clear" w:color="000000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BFB1D0" w:themeFill="accent4" w:themeFillTint="7F"/>
      </w:tcPr>
    </w:tblStylePr>
    <w:tblStylePr w:type="band1Horz">
      <w:tblPr/>
      <w:tcPr>
        <w:shd w:val="clear" w:color="000000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A5D5E2" w:themeFill="accent5" w:themeFillTint="7F"/>
      </w:tcPr>
    </w:tblStylePr>
    <w:tblStylePr w:type="band1Horz">
      <w:tblPr/>
      <w:tcPr>
        <w:shd w:val="clear" w:color="000000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FBCAA2" w:themeFill="accent6" w:themeFillTint="7F"/>
      </w:tcPr>
    </w:tblStylePr>
    <w:tblStylePr w:type="band1Horz">
      <w:tblPr/>
      <w:tcPr>
        <w:shd w:val="clear" w:color="000000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C0C0C0" w:themeFill="text1" w:themeFillTint="3F"/>
    </w:tcPr>
    <w:tblStylePr w:type="firstRow">
      <w:rPr>
        <w:b/>
        <w:bCs/>
        <w:color w:val="000000"/>
      </w:rPr>
      <w:tblPr/>
      <w:tcPr>
        <w:shd w:val="clear" w:color="000000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CCCCCC" w:themeFill="text1" w:themeFillTint="33"/>
      </w:tcPr>
    </w:tblStylePr>
    <w:tblStylePr w:type="band1Vert">
      <w:tblPr/>
      <w:tcPr>
        <w:shd w:val="clear" w:color="000000" w:fill="808080" w:themeFill="text1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808080" w:themeFill="text1" w:themeFillTint="7F"/>
      </w:tcPr>
    </w:tblStylePr>
    <w:tblStylePr w:type="nwCell">
      <w:tblPr/>
      <w:tcPr>
        <w:shd w:val="clear" w:color="000000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3DFEE" w:themeFill="accent1" w:themeFillTint="3F"/>
    </w:tcPr>
    <w:tblStylePr w:type="firstRow">
      <w:rPr>
        <w:b/>
        <w:bCs/>
        <w:color w:val="000000"/>
      </w:rPr>
      <w:tblPr/>
      <w:tcPr>
        <w:shd w:val="clear" w:color="000000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DBE5F1" w:themeFill="accent1" w:themeFillTint="33"/>
      </w:tcPr>
    </w:tblStylePr>
    <w:tblStylePr w:type="band1Vert">
      <w:tblPr/>
      <w:tcPr>
        <w:shd w:val="clear" w:color="000000" w:fill="A7BFDE" w:themeFill="accent1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A7BFDE" w:themeFill="accent1" w:themeFillTint="7F"/>
      </w:tcPr>
    </w:tblStylePr>
    <w:tblStylePr w:type="nwCell">
      <w:tblPr/>
      <w:tcPr>
        <w:shd w:val="clear" w:color="000000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FD3D2" w:themeFill="accent2" w:themeFillTint="3F"/>
    </w:tcPr>
    <w:tblStylePr w:type="firstRow">
      <w:rPr>
        <w:b/>
        <w:bCs/>
        <w:color w:val="000000"/>
      </w:rPr>
      <w:tblPr/>
      <w:tcPr>
        <w:shd w:val="clear" w:color="000000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2DBDB" w:themeFill="accent2" w:themeFillTint="33"/>
      </w:tcPr>
    </w:tblStylePr>
    <w:tblStylePr w:type="band1Vert">
      <w:tblPr/>
      <w:tcPr>
        <w:shd w:val="clear" w:color="000000" w:fill="DFA7A6" w:themeFill="accent2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DFA7A6" w:themeFill="accent2" w:themeFillTint="7F"/>
      </w:tcPr>
    </w:tblStylePr>
    <w:tblStylePr w:type="nwCell">
      <w:tblPr/>
      <w:tcPr>
        <w:shd w:val="clear" w:color="000000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6EED5" w:themeFill="accent3" w:themeFillTint="3F"/>
    </w:tcPr>
    <w:tblStylePr w:type="firstRow">
      <w:rPr>
        <w:b/>
        <w:bCs/>
        <w:color w:val="000000"/>
      </w:rPr>
      <w:tblPr/>
      <w:tcPr>
        <w:shd w:val="clear" w:color="000000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EAF1DD" w:themeFill="accent3" w:themeFillTint="33"/>
      </w:tcPr>
    </w:tblStylePr>
    <w:tblStylePr w:type="band1Vert">
      <w:tblPr/>
      <w:tcPr>
        <w:shd w:val="clear" w:color="000000" w:fill="CDDDAC" w:themeFill="accent3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CDDDAC" w:themeFill="accent3" w:themeFillTint="7F"/>
      </w:tcPr>
    </w:tblStylePr>
    <w:tblStylePr w:type="nwCell">
      <w:tblPr/>
      <w:tcPr>
        <w:shd w:val="clear" w:color="000000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FD8E8" w:themeFill="accent4" w:themeFillTint="3F"/>
    </w:tcPr>
    <w:tblStylePr w:type="firstRow">
      <w:rPr>
        <w:b/>
        <w:bCs/>
        <w:color w:val="000000"/>
      </w:rPr>
      <w:tblPr/>
      <w:tcPr>
        <w:shd w:val="clear" w:color="000000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E5DFEC" w:themeFill="accent4" w:themeFillTint="33"/>
      </w:tcPr>
    </w:tblStylePr>
    <w:tblStylePr w:type="band1Vert">
      <w:tblPr/>
      <w:tcPr>
        <w:shd w:val="clear" w:color="000000" w:fill="BFB1D0" w:themeFill="accent4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BFB1D0" w:themeFill="accent4" w:themeFillTint="7F"/>
      </w:tcPr>
    </w:tblStylePr>
    <w:tblStylePr w:type="nwCell">
      <w:tblPr/>
      <w:tcPr>
        <w:shd w:val="clear" w:color="000000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2EAF1" w:themeFill="accent5" w:themeFillTint="3F"/>
    </w:tcPr>
    <w:tblStylePr w:type="firstRow">
      <w:rPr>
        <w:b/>
        <w:bCs/>
        <w:color w:val="000000"/>
      </w:rPr>
      <w:tblPr/>
      <w:tcPr>
        <w:shd w:val="clear" w:color="000000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DAEEF3" w:themeFill="accent5" w:themeFillTint="33"/>
      </w:tcPr>
    </w:tblStylePr>
    <w:tblStylePr w:type="band1Vert">
      <w:tblPr/>
      <w:tcPr>
        <w:shd w:val="clear" w:color="000000" w:fill="A5D5E2" w:themeFill="accent5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A5D5E2" w:themeFill="accent5" w:themeFillTint="7F"/>
      </w:tcPr>
    </w:tblStylePr>
    <w:tblStylePr w:type="nwCell">
      <w:tblPr/>
      <w:tcPr>
        <w:shd w:val="clear" w:color="000000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DE4D0" w:themeFill="accent6" w:themeFillTint="3F"/>
    </w:tcPr>
    <w:tblStylePr w:type="firstRow">
      <w:rPr>
        <w:b/>
        <w:bCs/>
        <w:color w:val="000000"/>
      </w:rPr>
      <w:tblPr/>
      <w:tcPr>
        <w:shd w:val="clear" w:color="000000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DE9D9" w:themeFill="accent6" w:themeFillTint="33"/>
      </w:tcPr>
    </w:tblStylePr>
    <w:tblStylePr w:type="band1Vert">
      <w:tblPr/>
      <w:tcPr>
        <w:shd w:val="clear" w:color="000000" w:fill="FBCAA2" w:themeFill="accent6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FBCAA2" w:themeFill="accent6" w:themeFillTint="7F"/>
      </w:tcPr>
    </w:tblStylePr>
    <w:tblStylePr w:type="nwCell">
      <w:tblPr/>
      <w:tcPr>
        <w:shd w:val="clear" w:color="000000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000000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000000" w:fill="000000" w:themeFill="text1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808080" w:themeFill="text1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000000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000000" w:fill="4F81BD" w:themeFill="accent1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A7BFDE" w:themeFill="accent1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000000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000000" w:fill="C0504D" w:themeFill="accent2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DFA7A6" w:themeFill="accent2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000000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000000" w:fill="9BBB59" w:themeFill="accent3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CDDDAC" w:themeFill="accent3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000000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000000" w:fill="8064A2" w:themeFill="accent4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BFB1D0" w:themeFill="accent4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000000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000000" w:fill="4BACC6" w:themeFill="accent5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A5D5E2" w:themeFill="accent5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000000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000000" w:fill="F79646" w:themeFill="accent6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FBCAA2" w:themeFill="accent6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000000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000000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000000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000000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000000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000000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000000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000000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000000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000000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000000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000000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000000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000000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000000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000000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000000" w:themeFill="text1" w:themeFillShade="BF"/>
      </w:tcPr>
    </w:tblStylePr>
    <w:tblStylePr w:type="band1Vert">
      <w:tblPr/>
      <w:tcPr>
        <w:shd w:val="clear" w:color="000000" w:fill="999999" w:themeFill="text1" w:themeFillTint="66"/>
      </w:tcPr>
    </w:tblStylePr>
    <w:tblStylePr w:type="band1Horz">
      <w:tblPr/>
      <w:tcPr>
        <w:shd w:val="clear" w:color="000000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000000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000000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2C4C74" w:themeFill="accent1" w:themeFillShade="99"/>
      </w:tcPr>
    </w:tblStylePr>
    <w:tblStylePr w:type="band1Vert">
      <w:tblPr/>
      <w:tcPr>
        <w:shd w:val="clear" w:color="000000" w:fill="B8CCE4" w:themeFill="accent1" w:themeFillTint="66"/>
      </w:tcPr>
    </w:tblStylePr>
    <w:tblStylePr w:type="band1Horz">
      <w:tblPr/>
      <w:tcPr>
        <w:shd w:val="clear" w:color="000000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000000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000000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772C2A" w:themeFill="accent2" w:themeFillShade="99"/>
      </w:tcPr>
    </w:tblStylePr>
    <w:tblStylePr w:type="band1Vert">
      <w:tblPr/>
      <w:tcPr>
        <w:shd w:val="clear" w:color="000000" w:fill="E5B8B7" w:themeFill="accent2" w:themeFillTint="66"/>
      </w:tcPr>
    </w:tblStylePr>
    <w:tblStylePr w:type="band1Horz">
      <w:tblPr/>
      <w:tcPr>
        <w:shd w:val="clear" w:color="000000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000000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000000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5E7530" w:themeFill="accent3" w:themeFillShade="99"/>
      </w:tcPr>
    </w:tblStylePr>
    <w:tblStylePr w:type="band1Vert">
      <w:tblPr/>
      <w:tcPr>
        <w:shd w:val="clear" w:color="000000" w:fill="D6E3BC" w:themeFill="accent3" w:themeFillTint="66"/>
      </w:tcPr>
    </w:tblStylePr>
    <w:tblStylePr w:type="band1Horz">
      <w:tblPr/>
      <w:tcPr>
        <w:shd w:val="clear" w:color="000000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000000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000000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4C3B62" w:themeFill="accent4" w:themeFillShade="99"/>
      </w:tcPr>
    </w:tblStylePr>
    <w:tblStylePr w:type="band1Vert">
      <w:tblPr/>
      <w:tcPr>
        <w:shd w:val="clear" w:color="000000" w:fill="CCC0D9" w:themeFill="accent4" w:themeFillTint="66"/>
      </w:tcPr>
    </w:tblStylePr>
    <w:tblStylePr w:type="band1Horz">
      <w:tblPr/>
      <w:tcPr>
        <w:shd w:val="clear" w:color="000000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000000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000000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276A7C" w:themeFill="accent5" w:themeFillShade="99"/>
      </w:tcPr>
    </w:tblStylePr>
    <w:tblStylePr w:type="band1Vert">
      <w:tblPr/>
      <w:tcPr>
        <w:shd w:val="clear" w:color="000000" w:fill="B6DDE8" w:themeFill="accent5" w:themeFillTint="66"/>
      </w:tcPr>
    </w:tblStylePr>
    <w:tblStylePr w:type="band1Horz">
      <w:tblPr/>
      <w:tcPr>
        <w:shd w:val="clear" w:color="000000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000000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000000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B65608" w:themeFill="accent6" w:themeFillShade="99"/>
      </w:tcPr>
    </w:tblStylePr>
    <w:tblStylePr w:type="band1Vert">
      <w:tblPr/>
      <w:tcPr>
        <w:shd w:val="clear" w:color="000000" w:fill="FBD4B4" w:themeFill="accent6" w:themeFillTint="66"/>
      </w:tcPr>
    </w:tblStylePr>
    <w:tblStylePr w:type="band1Horz">
      <w:tblPr/>
      <w:tcPr>
        <w:shd w:val="clear" w:color="000000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000000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000000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C0C0C0" w:themeFill="text1" w:themeFillTint="3F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000000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000000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D3DFEE" w:themeFill="accent1" w:themeFillTint="3F"/>
      </w:tcPr>
    </w:tblStylePr>
    <w:tblStylePr w:type="band1Horz">
      <w:tblPr/>
      <w:tcPr>
        <w:shd w:val="clear" w:color="000000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000000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000000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EFD3D2" w:themeFill="accent2" w:themeFillTint="3F"/>
      </w:tcPr>
    </w:tblStylePr>
    <w:tblStylePr w:type="band1Horz">
      <w:tblPr/>
      <w:tcPr>
        <w:shd w:val="clear" w:color="000000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000000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000000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E6EED5" w:themeFill="accent3" w:themeFillTint="3F"/>
      </w:tcPr>
    </w:tblStylePr>
    <w:tblStylePr w:type="band1Horz">
      <w:tblPr/>
      <w:tcPr>
        <w:shd w:val="clear" w:color="000000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000000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000000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DFD8E8" w:themeFill="accent4" w:themeFillTint="3F"/>
      </w:tcPr>
    </w:tblStylePr>
    <w:tblStylePr w:type="band1Horz">
      <w:tblPr/>
      <w:tcPr>
        <w:shd w:val="clear" w:color="000000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000000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000000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D2EAF1" w:themeFill="accent5" w:themeFillTint="3F"/>
      </w:tcPr>
    </w:tblStylePr>
    <w:tblStylePr w:type="band1Horz">
      <w:tblPr/>
      <w:tcPr>
        <w:shd w:val="clear" w:color="000000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000000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000000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DE4D0" w:themeFill="accent6" w:themeFillTint="3F"/>
      </w:tcPr>
    </w:tblStylePr>
    <w:tblStylePr w:type="band1Horz">
      <w:tblPr/>
      <w:tcPr>
        <w:shd w:val="clear" w:color="000000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CCCCCC" w:themeFill="text1" w:themeFillTint="33"/>
    </w:tcPr>
    <w:tblStylePr w:type="firstRow">
      <w:rPr>
        <w:b/>
        <w:bCs/>
      </w:rPr>
      <w:tblPr/>
      <w:tcPr>
        <w:shd w:val="clear" w:color="000000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000000" w:fill="999999" w:themeFill="text1" w:themeFillTint="66"/>
      </w:tcPr>
    </w:tblStylePr>
    <w:tblStylePr w:type="firstCol">
      <w:rPr>
        <w:color w:val="000000"/>
      </w:rPr>
      <w:tblPr/>
      <w:tcPr>
        <w:shd w:val="clear" w:color="000000" w:fill="000000" w:themeFill="text1" w:themeFillShade="BF"/>
      </w:tcPr>
    </w:tblStylePr>
    <w:tblStylePr w:type="lastCol">
      <w:rPr>
        <w:color w:val="000000"/>
      </w:rPr>
      <w:tblPr/>
      <w:tcPr>
        <w:shd w:val="clear" w:color="000000" w:fill="000000" w:themeFill="text1" w:themeFillShade="BF"/>
      </w:tcPr>
    </w:tblStylePr>
    <w:tblStylePr w:type="band1Vert">
      <w:tblPr/>
      <w:tcPr>
        <w:shd w:val="clear" w:color="000000" w:fill="808080" w:themeFill="text1" w:themeFillTint="7F"/>
      </w:tcPr>
    </w:tblStylePr>
    <w:tblStylePr w:type="band1Horz">
      <w:tblPr/>
      <w:tcPr>
        <w:shd w:val="clear" w:color="000000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BE5F1" w:themeFill="accent1" w:themeFillTint="33"/>
    </w:tcPr>
    <w:tblStylePr w:type="firstRow">
      <w:rPr>
        <w:b/>
        <w:bCs/>
      </w:rPr>
      <w:tblPr/>
      <w:tcPr>
        <w:shd w:val="clear" w:color="000000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000000" w:fill="B8CCE4" w:themeFill="accent1" w:themeFillTint="66"/>
      </w:tcPr>
    </w:tblStylePr>
    <w:tblStylePr w:type="firstCol">
      <w:rPr>
        <w:color w:val="000000"/>
      </w:rPr>
      <w:tblPr/>
      <w:tcPr>
        <w:shd w:val="clear" w:color="000000" w:fill="365F91" w:themeFill="accent1" w:themeFillShade="BF"/>
      </w:tcPr>
    </w:tblStylePr>
    <w:tblStylePr w:type="lastCol">
      <w:rPr>
        <w:color w:val="000000"/>
      </w:rPr>
      <w:tblPr/>
      <w:tcPr>
        <w:shd w:val="clear" w:color="000000" w:fill="365F91" w:themeFill="accent1" w:themeFillShade="BF"/>
      </w:tcPr>
    </w:tblStylePr>
    <w:tblStylePr w:type="band1Vert">
      <w:tblPr/>
      <w:tcPr>
        <w:shd w:val="clear" w:color="000000" w:fill="A7BFDE" w:themeFill="accent1" w:themeFillTint="7F"/>
      </w:tcPr>
    </w:tblStylePr>
    <w:tblStylePr w:type="band1Horz">
      <w:tblPr/>
      <w:tcPr>
        <w:shd w:val="clear" w:color="000000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2DBDB" w:themeFill="accent2" w:themeFillTint="33"/>
    </w:tcPr>
    <w:tblStylePr w:type="firstRow">
      <w:rPr>
        <w:b/>
        <w:bCs/>
      </w:rPr>
      <w:tblPr/>
      <w:tcPr>
        <w:shd w:val="clear" w:color="000000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000000" w:fill="E5B8B7" w:themeFill="accent2" w:themeFillTint="66"/>
      </w:tcPr>
    </w:tblStylePr>
    <w:tblStylePr w:type="firstCol">
      <w:rPr>
        <w:color w:val="000000"/>
      </w:rPr>
      <w:tblPr/>
      <w:tcPr>
        <w:shd w:val="clear" w:color="000000" w:fill="943634" w:themeFill="accent2" w:themeFillShade="BF"/>
      </w:tcPr>
    </w:tblStylePr>
    <w:tblStylePr w:type="lastCol">
      <w:rPr>
        <w:color w:val="000000"/>
      </w:rPr>
      <w:tblPr/>
      <w:tcPr>
        <w:shd w:val="clear" w:color="000000" w:fill="943634" w:themeFill="accent2" w:themeFillShade="BF"/>
      </w:tcPr>
    </w:tblStylePr>
    <w:tblStylePr w:type="band1Vert">
      <w:tblPr/>
      <w:tcPr>
        <w:shd w:val="clear" w:color="000000" w:fill="DFA7A6" w:themeFill="accent2" w:themeFillTint="7F"/>
      </w:tcPr>
    </w:tblStylePr>
    <w:tblStylePr w:type="band1Horz">
      <w:tblPr/>
      <w:tcPr>
        <w:shd w:val="clear" w:color="000000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AF1DD" w:themeFill="accent3" w:themeFillTint="33"/>
    </w:tcPr>
    <w:tblStylePr w:type="firstRow">
      <w:rPr>
        <w:b/>
        <w:bCs/>
      </w:rPr>
      <w:tblPr/>
      <w:tcPr>
        <w:shd w:val="clear" w:color="000000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000000" w:fill="D6E3BC" w:themeFill="accent3" w:themeFillTint="66"/>
      </w:tcPr>
    </w:tblStylePr>
    <w:tblStylePr w:type="firstCol">
      <w:rPr>
        <w:color w:val="000000"/>
      </w:rPr>
      <w:tblPr/>
      <w:tcPr>
        <w:shd w:val="clear" w:color="000000" w:fill="76923C" w:themeFill="accent3" w:themeFillShade="BF"/>
      </w:tcPr>
    </w:tblStylePr>
    <w:tblStylePr w:type="lastCol">
      <w:rPr>
        <w:color w:val="000000"/>
      </w:rPr>
      <w:tblPr/>
      <w:tcPr>
        <w:shd w:val="clear" w:color="000000" w:fill="76923C" w:themeFill="accent3" w:themeFillShade="BF"/>
      </w:tcPr>
    </w:tblStylePr>
    <w:tblStylePr w:type="band1Vert">
      <w:tblPr/>
      <w:tcPr>
        <w:shd w:val="clear" w:color="000000" w:fill="CDDDAC" w:themeFill="accent3" w:themeFillTint="7F"/>
      </w:tcPr>
    </w:tblStylePr>
    <w:tblStylePr w:type="band1Horz">
      <w:tblPr/>
      <w:tcPr>
        <w:shd w:val="clear" w:color="000000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5DFEC" w:themeFill="accent4" w:themeFillTint="33"/>
    </w:tcPr>
    <w:tblStylePr w:type="firstRow">
      <w:rPr>
        <w:b/>
        <w:bCs/>
      </w:rPr>
      <w:tblPr/>
      <w:tcPr>
        <w:shd w:val="clear" w:color="000000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000000" w:fill="CCC0D9" w:themeFill="accent4" w:themeFillTint="66"/>
      </w:tcPr>
    </w:tblStylePr>
    <w:tblStylePr w:type="firstCol">
      <w:rPr>
        <w:color w:val="000000"/>
      </w:rPr>
      <w:tblPr/>
      <w:tcPr>
        <w:shd w:val="clear" w:color="000000" w:fill="5F497A" w:themeFill="accent4" w:themeFillShade="BF"/>
      </w:tcPr>
    </w:tblStylePr>
    <w:tblStylePr w:type="lastCol">
      <w:rPr>
        <w:color w:val="000000"/>
      </w:rPr>
      <w:tblPr/>
      <w:tcPr>
        <w:shd w:val="clear" w:color="000000" w:fill="5F497A" w:themeFill="accent4" w:themeFillShade="BF"/>
      </w:tcPr>
    </w:tblStylePr>
    <w:tblStylePr w:type="band1Vert">
      <w:tblPr/>
      <w:tcPr>
        <w:shd w:val="clear" w:color="000000" w:fill="BFB1D0" w:themeFill="accent4" w:themeFillTint="7F"/>
      </w:tcPr>
    </w:tblStylePr>
    <w:tblStylePr w:type="band1Horz">
      <w:tblPr/>
      <w:tcPr>
        <w:shd w:val="clear" w:color="000000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AEEF3" w:themeFill="accent5" w:themeFillTint="33"/>
    </w:tcPr>
    <w:tblStylePr w:type="firstRow">
      <w:rPr>
        <w:b/>
        <w:bCs/>
      </w:rPr>
      <w:tblPr/>
      <w:tcPr>
        <w:shd w:val="clear" w:color="000000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000000" w:fill="B6DDE8" w:themeFill="accent5" w:themeFillTint="66"/>
      </w:tcPr>
    </w:tblStylePr>
    <w:tblStylePr w:type="firstCol">
      <w:rPr>
        <w:color w:val="000000"/>
      </w:rPr>
      <w:tblPr/>
      <w:tcPr>
        <w:shd w:val="clear" w:color="000000" w:fill="31849B" w:themeFill="accent5" w:themeFillShade="BF"/>
      </w:tcPr>
    </w:tblStylePr>
    <w:tblStylePr w:type="lastCol">
      <w:rPr>
        <w:color w:val="000000"/>
      </w:rPr>
      <w:tblPr/>
      <w:tcPr>
        <w:shd w:val="clear" w:color="000000" w:fill="31849B" w:themeFill="accent5" w:themeFillShade="BF"/>
      </w:tcPr>
    </w:tblStylePr>
    <w:tblStylePr w:type="band1Vert">
      <w:tblPr/>
      <w:tcPr>
        <w:shd w:val="clear" w:color="000000" w:fill="A5D5E2" w:themeFill="accent5" w:themeFillTint="7F"/>
      </w:tcPr>
    </w:tblStylePr>
    <w:tblStylePr w:type="band1Horz">
      <w:tblPr/>
      <w:tcPr>
        <w:shd w:val="clear" w:color="000000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DE9D9" w:themeFill="accent6" w:themeFillTint="33"/>
    </w:tcPr>
    <w:tblStylePr w:type="firstRow">
      <w:rPr>
        <w:b/>
        <w:bCs/>
      </w:rPr>
      <w:tblPr/>
      <w:tcPr>
        <w:shd w:val="clear" w:color="000000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000000" w:fill="FBD4B4" w:themeFill="accent6" w:themeFillTint="66"/>
      </w:tcPr>
    </w:tblStylePr>
    <w:tblStylePr w:type="firstCol">
      <w:rPr>
        <w:color w:val="000000"/>
      </w:rPr>
      <w:tblPr/>
      <w:tcPr>
        <w:shd w:val="clear" w:color="000000" w:fill="E36C0A" w:themeFill="accent6" w:themeFillShade="BF"/>
      </w:tcPr>
    </w:tblStylePr>
    <w:tblStylePr w:type="lastCol">
      <w:rPr>
        <w:color w:val="000000"/>
      </w:rPr>
      <w:tblPr/>
      <w:tcPr>
        <w:shd w:val="clear" w:color="000000" w:fill="E36C0A" w:themeFill="accent6" w:themeFillShade="BF"/>
      </w:tcPr>
    </w:tblStylePr>
    <w:tblStylePr w:type="band1Vert">
      <w:tblPr/>
      <w:tcPr>
        <w:shd w:val="clear" w:color="000000" w:fill="FBCAA2" w:themeFill="accent6" w:themeFillTint="7F"/>
      </w:tcPr>
    </w:tblStylePr>
    <w:tblStylePr w:type="band1Horz">
      <w:tblPr/>
      <w:tcPr>
        <w:shd w:val="clear" w:color="000000" w:fill="FBCAA2" w:themeFill="accent6" w:themeFillTint="7F"/>
      </w:tcPr>
    </w:tblStylePr>
  </w:style>
  <w:style w:type="paragraph" w:customStyle="1" w:styleId="GOSTList">
    <w:name w:val="GOST List"/>
    <w:pPr>
      <w:spacing w:before="0" w:after="0" w:line="360" w:lineRule="auto"/>
      <w:ind w:hanging="357" w:left="709"/>
      <w:jc w:val="both"/>
    </w:pPr>
    <w:rPr>
      <w:rFonts w:ascii="Times New Roman" w:hAnsi="Times New Roman" w:eastAsia="Times New Roman" w:cs="Times New Roman"/>
      <w:b w:val="0"/>
      <w:i w:val="0"/>
      <w:color w:val="000000"/>
      <w:sz w:val="28"/>
      <w:u w:val="none"/>
    </w:rPr>
  </w:style>
  <w:style w:type="paragraph" w:customStyle="1" w:styleId="GOSTQuote">
    <w:name w:val="GOST Quote"/>
    <w:pPr>
      <w:spacing w:before="0" w:after="0" w:line="360" w:lineRule="auto"/>
      <w:ind w:left="709" w:firstLine="0"/>
      <w:jc w:val="both"/>
    </w:pPr>
    <w:rPr>
      <w:rFonts w:ascii="Times New Roman" w:hAnsi="Times New Roman" w:eastAsia="Times New Roman" w:cs="Times New Roman"/>
      <w:b w:val="0"/>
      <w:i/>
      <w:color w:val="000000"/>
      <w:sz w:val="28"/>
      <w:u w:val="none"/>
    </w:rPr>
  </w:style>
  <w:style w:type="paragraph" w:customStyle="1" w:styleId="GOSTCode">
    <w:name w:val="GOST Code"/>
    <w:pPr>
      <w:spacing w:before="60" w:after="60" w:line="240" w:lineRule="auto"/>
      <w:ind w:left="709" w:firstLine="0"/>
    </w:pPr>
    <w:rPr>
      <w:rFonts w:ascii="Times New Roman" w:hAnsi="Times New Roman" w:eastAsia="Times New Roman" w:cs="Times New Roman"/>
      <w:b w:val="0"/>
      <w:i w:val="0"/>
      <w:color w:val="000000"/>
      <w:sz w:val="24"/>
      <w:u w:val="none"/>
    </w:rPr>
  </w:style>
  <w:style w:type="paragraph" w:customStyle="1" w:styleId="GOSTCaption">
    <w:name w:val="GOST Caption"/>
    <w:pPr>
      <w:spacing w:before="0" w:after="0" w:line="240" w:lineRule="auto"/>
      <w:ind w:firstLine="0"/>
      <w:jc w:val="center"/>
    </w:pPr>
    <w:rPr>
      <w:rFonts w:ascii="Times New Roman" w:hAnsi="Times New Roman" w:eastAsia="Times New Roman" w:cs="Times New Roman"/>
      <w:b w:val="0"/>
      <w:i w:val="0"/>
      <w:color w:val="000000"/>
      <w:sz w:val="24"/>
      <w:u w:val="none"/>
    </w:rPr>
  </w:style>
  <w:style w:type="paragraph" w:customStyle="1" w:styleId="GOSTFigureSource">
    <w:name w:val="GOST Figure Source"/>
    <w:pPr>
      <w:spacing w:before="0" w:after="0" w:line="240" w:lineRule="auto"/>
      <w:ind w:firstLine="0"/>
      <w:jc w:val="center"/>
    </w:pPr>
    <w:rPr>
      <w:rFonts w:ascii="Times New Roman" w:hAnsi="Times New Roman" w:eastAsia="Times New Roman" w:cs="Times New Roman"/>
      <w:b w:val="0"/>
      <w:i w:val="0"/>
      <w:color w:val="000000"/>
      <w:sz w:val="24"/>
      <w:u w:val="none"/>
    </w:rPr>
  </w:style>
  <w:style w:type="paragraph" w:customStyle="1" w:styleId="GOSTFigureReference">
    <w:name w:val="GOST Figure Reference"/>
    <w:pPr>
      <w:keepNext/>
      <w:spacing w:before="0" w:after="0" w:line="360" w:lineRule="auto"/>
      <w:ind w:firstLine="709"/>
      <w:jc w:val="both"/>
    </w:pPr>
    <w:rPr>
      <w:rFonts w:ascii="Times New Roman" w:hAnsi="Times New Roman" w:eastAsia="Times New Roman" w:cs="Times New Roman"/>
      <w:b w:val="0"/>
      <w:i w:val="0"/>
      <w:color w:val="000000"/>
      <w:sz w:val="28"/>
      <w:u w:val="none"/>
    </w:rPr>
  </w:style>
  <w:style w:type="paragraph" w:customStyle="1" w:styleId="GOSTTableCaption">
    <w:name w:val="GOST Table Caption"/>
    <w:pPr>
      <w:keepNext/>
      <w:spacing w:before="0" w:after="0" w:line="240" w:lineRule="auto"/>
      <w:ind w:firstLine="0"/>
      <w:jc w:val="left"/>
    </w:pPr>
    <w:rPr>
      <w:rFonts w:ascii="Times New Roman" w:hAnsi="Times New Roman" w:eastAsia="Times New Roman" w:cs="Times New Roman"/>
      <w:b w:val="0"/>
      <w:i w:val="0"/>
      <w:color w:val="000000"/>
      <w:sz w:val="24"/>
      <w:u w:val="none"/>
    </w:rPr>
  </w:style>
  <w:style w:type="paragraph" w:customStyle="1" w:styleId="GOSTTableReference">
    <w:name w:val="GOST Table Reference"/>
    <w:pPr>
      <w:keepNext/>
      <w:spacing w:before="0" w:after="0" w:line="360" w:lineRule="auto"/>
      <w:ind w:firstLine="709"/>
      <w:jc w:val="both"/>
    </w:pPr>
    <w:rPr>
      <w:rFonts w:ascii="Times New Roman" w:hAnsi="Times New Roman" w:eastAsia="Times New Roman" w:cs="Times New Roman"/>
      <w:b w:val="0"/>
      <w:i w:val="0"/>
      <w:color w:val="000000"/>
      <w:sz w:val="28"/>
      <w:u w:val="none"/>
    </w:rPr>
  </w:style>
  <w:style w:type="paragraph" w:customStyle="1" w:styleId="GOSTCoverMetadata">
    <w:name w:val="GOST Cover Metadata"/>
    <w:pPr>
      <w:spacing w:before="0" w:after="120" w:line="360" w:lineRule="auto"/>
      <w:ind w:firstLine="0"/>
      <w:jc w:val="center"/>
    </w:pPr>
    <w:rPr>
      <w:rFonts w:ascii="Times New Roman" w:hAnsi="Times New Roman" w:eastAsia="Times New Roman" w:cs="Times New Roman"/>
      <w:b w:val="0"/>
      <w:i w:val="0"/>
      <w:color w:val="000000"/>
      <w:sz w:val="28"/>
      <w:u w:val="none"/>
    </w:rPr>
  </w:style>
  <w:style w:type="paragraph" w:customStyle="1" w:styleId="GOSTNavigation">
    <w:name w:val="GOST Navigation"/>
    <w:pPr>
      <w:spacing w:before="0" w:after="60" w:line="240" w:lineRule="auto"/>
      <w:ind w:firstLine="0"/>
    </w:pPr>
    <w:rPr>
      <w:rFonts w:ascii="Times New Roman" w:hAnsi="Times New Roman" w:eastAsia="Times New Roman" w:cs="Times New Roman"/>
      <w:b w:val="0"/>
      <w:i w:val="0"/>
      <w:color w:val="000000"/>
      <w:sz w:val="28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yperlink" Target="../requirements/&#1060;&#1057;&#1055;%20&#1089;&#1087;&#1077;&#1094;.%20&#1090;&#1088;&#1077;&#1082;%20&#1058;&#1047;.pdf" TargetMode="External"/><Relationship Id="rId12" Type="http://schemas.openxmlformats.org/officeDocument/2006/relationships/hyperlink" Target="../requirements/qa-written-fsp-2026.md" TargetMode="External"/><Relationship Id="rId13" Type="http://schemas.openxmlformats.org/officeDocument/2006/relationships/hyperlink" Target="50-completion-conformance.md" TargetMode="External"/><Relationship Id="rId14" Type="http://schemas.openxmlformats.org/officeDocument/2006/relationships/hyperlink" Target="48-release-acceptance.md" TargetMode="External"/><Relationship Id="rId15" Type="http://schemas.openxmlformats.org/officeDocument/2006/relationships/hyperlink" Target="53-self-deployment.md" TargetMode="External"/><Relationship Id="rId16" Type="http://schemas.openxmlformats.org/officeDocument/2006/relationships/hyperlink" Target="54-self-deployment-acceptance.md" TargetMode="External"/><Relationship Id="rId17" Type="http://schemas.openxmlformats.org/officeDocument/2006/relationships/image" Target="media/image1.png"/><Relationship Id="rId18" Type="http://schemas.openxmlformats.org/officeDocument/2006/relationships/image" Target="media/image2.png"/><Relationship Id="rId19" Type="http://schemas.openxmlformats.org/officeDocument/2006/relationships/image" Target="media/image3.png"/><Relationship Id="rId2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Технический отчёт текущей реализации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