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Сопроводительная документация решения</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77"/>
          <w:pgSz w:w="11906" w:h="16838"/>
          <w:pgMar w:top="1134" w:right="850" w:bottom="1134" w:left="1701" w:header="720" w:footer="567" w:gutter="0"/>
          <w:cols w:space="720"/>
          <w:docGrid w:linePitch="360"/>
        </w:sectPr>
      </w:pPr>
    </w:p>
    <w:p>
      <w:pPr>
        <w:pStyle w:val="Heading1"/>
      </w:pPr>
      <w:bookmarkStart w:id="1" w:name="doc_34"/>
      <w:r>
        <w:rPr>
          <w:rFonts w:ascii="Times New Roman" w:hAnsi="Times New Roman" w:eastAsia="Times New Roman" w:cs="Times New Roman"/>
          <w:color w:val="000000"/>
          <w:u w:val="none"/>
        </w:rPr>
        <w:t>34. Сопроводительная документация решения</w:t>
      </w:r>
      <w:bookmarkEnd w:id="1"/>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xml:space="preserve">. Для целевого выпуска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предусмотрена отдельная индивидуальная регистрация жюри без реального email: роль, собственный пароль, согласие и выдаваемый синтетический логин. Это специальный публичный конкурсный flow; он не заменяет локальную email-регистрацию с подтверждением, требуемую ТЗ. Live-flow v3 активирован, TLS health подтверждает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SQLite, выбранные 76 PostgreSQL-проверок и адресные проверки входа/relay/gate пройдены. Полный PostgreSQL-набор проекта для этой редакции не выполнялся.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11"/>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12"/>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14"/>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88 путей и 101 операция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16">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r:id="rId17">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r>
        <w:rPr>
          <w:rFonts w:ascii="Times New Roman" w:hAnsi="Times New Roman" w:eastAsia="Times New Roman" w:cs="Times New Roman"/>
          <w:color w:val="000000"/>
          <w:u w:val="none"/>
        </w:rPr>
        <w:t>Целевой внешний режим собирается только полным набором из пяти override-файлов:</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 xml:space="preserve">При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выбирает все пять файлов и требует пройденного gate. Без флага сохраняется прежняя цепочка с Basic Auth. На внешнем домене развёрнут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исходный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финальная операторская правка relay —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Полный PG-набор не запускался; live browser-матрица прошла candidate/employer в Chromium, Firefox и WebKit, а негативная HTTPS-проверка — 10/10. 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 xml:space="preserve">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 Специальный jury-flow не проверяет владение email и не отправляет письмо: сервер сам назначает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а имя и контакт остаются синтетическими. Предупреждение запрещает реальные ФИО, фото и контакты, однако оно не может технически гарантировать, что посетитель никогда не введёт ПДн в свободное поле. Иностранные Google/Apple OAuth и иные внешние провайдеры входа для этого режима не используются. Создание ограничено пятью аккаунтами в час на фактический IP и общим пределом 200 аккаунтов; аутентификация — десятью попытками в минуту на IP.</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ограниченном стенде жюри модель выключена. Протоколы — </w:t>
      </w:r>
      <w:hyperlink r:id="rId20">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1">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22">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23">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порядок создания индивидуального синтетического аккаунта HTTPS-стенда указан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24">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r:id="rId20">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r:id="rId17">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25"/>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26"/>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2" w:name="doc_50"/>
      <w:r>
        <w:rPr>
          <w:rFonts w:ascii="Times New Roman" w:hAnsi="Times New Roman" w:eastAsia="Times New Roman" w:cs="Times New Roman"/>
          <w:color w:val="000000"/>
          <w:u w:val="none"/>
        </w:rPr>
        <w:t>50. Полнота решения по ТЗ и письменным ответам</w:t>
      </w:r>
      <w:bookmarkEnd w:id="2"/>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27">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28">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9">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r:id="rId20">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 Специальная jury-регистрация без email — отдельный безопасный конкурсный режим и не заменяет этот путь</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 Jury-flow проверяется отдельно и не используется как доказательство R01</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Текущий контракт: 88 путей / 101 операция; 72 offline-примера, включая безопасный placeholder jury-регистрации. API PDF прежнего выпуска — 21 страница; канонический PDF v3 пересобирается после финальной live-приёмки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16-слайдовый PPTX уточнён по предоставленному PDF и общим конкурсным материалам. Этот PPTX не объявляется подтверждённым официальным шаблоном ЛЦТ 2026; PDF-гайд, видео и локальный стенд подготовлены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целевой v3 создаёт отдельный аккаунт без общего пароля.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30">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r:id="rId3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Для индивидуального jury-v3 пройдены локальный полный SQLite-набор 565/5 с шестью подтестами, адресный auth-набор 141/3, шесть relay CLI-тестов и независимый gate из 23 auth-тестов с проверками script/Compose. На PostgreSQL 16.14 прошли 76 выбранных тестов без пропусков за 362,16 с: три новых PG-кейса и 73 адресные API/product/mail-проверки. Это не полный PostgreSQL-набор проекта. Внешний TLS health подтвердил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Live browser-матрица прошла candidate/employer в Chromium, Firefox и WebKit; отдельные 10 негативных HTTPS-проверок также завершены успешно. Это не полный pentest и не полный PostgreSQL-набор проекта.</w:t>
      </w:r>
    </w:p>
    <w:p>
      <w:r>
        <w:rPr>
          <w:rFonts w:ascii="Times New Roman" w:hAnsi="Times New Roman" w:eastAsia="Times New Roman" w:cs="Times New Roman"/>
          <w:color w:val="000000"/>
          <w:u w:val="none"/>
        </w:rPr>
        <w:t xml:space="preserve">Локальный полный контур и ограниченный HTTPS-показ жюри различаются. Целевой v3 отключает обычную email-регистрацию, почту, PDF-импорт, ФСП mock и модель, но включает отдельный opt-in маршрут индивидуальной синтетической регистрации. Полный путь email-подтверждения запускается по </w:t>
      </w:r>
      <w:hyperlink r:id="rId17">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3" w:name="doc_58"/>
      <w:r>
        <w:rPr>
          <w:rFonts w:ascii="Times New Roman" w:hAnsi="Times New Roman" w:eastAsia="Times New Roman" w:cs="Times New Roman"/>
          <w:color w:val="000000"/>
          <w:u w:val="none"/>
        </w:rPr>
        <w:t>58. Авторизация, почта и данные временного стенда</w:t>
      </w:r>
      <w:bookmarkEnd w:id="3"/>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Разрешённая граница и целевой режим v3</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 xml:space="preserve">Публичный стенд предназначен только для ограниченного конкурсного показа на синтетических данных. Для целевого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установлена следующая граница; её фактическая работа требует отдельной приёмки: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посетитель выбирает только роль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задаёт свой пароль длиной 12–128 символов, повторяет его и явно подтверждает согласие;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сервер назначает непрозрачный логин вида </w:t>
      </w:r>
      <w:r>
        <w:rPr>
          <w:rFonts w:ascii="Times New Roman" w:hAnsi="Times New Roman" w:eastAsia="Times New Roman" w:cs="Times New Roman"/>
          <w:color w:val="000000"/>
          <w:u w:val="none"/>
        </w:rPr>
        <w:t>jury-&lt;случайное&gt;@example.invalid</w:t>
      </w:r>
      <w:r>
        <w:rPr>
          <w:rFonts w:ascii="Times New Roman" w:hAnsi="Times New Roman" w:eastAsia="Times New Roman" w:cs="Times New Roman"/>
          <w:color w:val="000000"/>
          <w:u w:val="none"/>
        </w:rPr>
        <w:t>, синтетические имя и контакт и сразу создаёт Secure/HttpOnly сессию на 8 часов с CSRF-защитой. Логин показывается один раз для копирования и сохранения; после выхода повторный вход возможен только с этим логином и своим паролем;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email не принимается и не подтверждается, письмо не отправляется. Это специальная синтетическая регистрация для публичной конкурсной проверки, отличная от полного локального пути ТЗ с подтверждением mock-почтой;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опубликованные ранее seed-логины и общий пароль отключаются, а существующие сессии отзываются. Выпуск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неизменяемой историей, но его данные входа недействительны для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ограничивается 200 jury-аккаунтами и пятью попытками в час на фактический клиентский IP. Эти значения должны быть подтверждены тестами и внешней приёмкой до публикации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фотографии, резюме, сообщения и другие данные людей вводить нельзя. Интерфейс требует только синтетические данные; предупреждение и defaults снижают риск, но не гарантируют, что посетитель никогда не введёт ПДн в свободное поле;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чужой client, Google/Apple OAuth и другие иностранные провайдеры входа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индивидуальном jury-режиме почтовые операции отключены полностью, а серверная регистрация создаёт только собственный синтетический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идентификатор.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32">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Email-подобная строка здесь служит непрозрачным логином и не подтверждает владение почтовым ящиком.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33">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34">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35">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36">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37">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38">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39">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40">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41">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42">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43">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44">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45">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46">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47">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48">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разрешает только </w:t>
      </w:r>
      <w:r>
        <w:rPr>
          <w:rFonts w:ascii="Times New Roman" w:hAnsi="Times New Roman" w:eastAsia="Times New Roman" w:cs="Times New Roman"/>
          <w:color w:val="000000"/>
          <w:u w:val="none"/>
        </w:rPr>
        <w:t>POST /api/v1/auth/jury-register</w:t>
      </w:r>
      <w:r>
        <w:rPr>
          <w:rFonts w:ascii="Times New Roman" w:hAnsi="Times New Roman" w:eastAsia="Times New Roman" w:cs="Times New Roman"/>
          <w:color w:val="000000"/>
          <w:u w:val="none"/>
        </w:rPr>
        <w:t xml:space="preserve"> с двумя ролями, паролем 12–128 и обязательным согласием; блокирует обычную email-регистрацию, email-flow, mock-mail, demo-ID login и resume preview;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сессия истекает через 8 часов, действуют общий предел 200 аккаунтов и 5 регистраций в час на IP.</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GOSTList"/>
        <w:ind w:left="709"/>
      </w:pPr>
      <w:r>
        <w:rPr>
          <w:rFonts w:ascii="Times New Roman" w:hAnsi="Times New Roman" w:eastAsia="Times New Roman" w:cs="Times New Roman"/>
          <w:color w:val="000000"/>
          <w:sz w:val="28"/>
          <w:u w:val="none"/>
        </w:rPr>
        <w:t xml:space="preserve">9. </w:t>
      </w:r>
      <w:r>
        <w:rPr>
          <w:rFonts w:ascii="Times New Roman" w:hAnsi="Times New Roman" w:eastAsia="Times New Roman" w:cs="Times New Roman"/>
          <w:color w:val="000000"/>
          <w:u w:val="none"/>
        </w:rPr>
        <w:t>Старые seed-пароли не принимаются, старые сессии отозваны; публичные правовые страницы доступны без входа, а продуктовые ресурсы требуют сессию.</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49">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4" w:name="doc_59"/>
      <w:r>
        <w:rPr>
          <w:rFonts w:ascii="Times New Roman" w:hAnsi="Times New Roman" w:eastAsia="Times New Roman" w:cs="Times New Roman"/>
          <w:color w:val="000000"/>
          <w:u w:val="none"/>
        </w:rPr>
        <w:t>59. Авторское право и сторонние компоненты</w:t>
      </w:r>
      <w:bookmarkEnd w:id="4"/>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48">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50">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51">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52">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2"/>
      </w:pPr>
      <w:r>
        <w:rPr>
          <w:rFonts w:ascii="Times New Roman" w:hAnsi="Times New Roman" w:eastAsia="Times New Roman" w:cs="Times New Roman"/>
          <w:color w:val="000000"/>
          <w:u w:val="none"/>
        </w:rPr>
        <w:t>6. Материалы команды в презентации v3</w:t>
      </w:r>
    </w:p>
    <w:p>
      <w:r>
        <w:rPr>
          <w:rFonts w:ascii="Times New Roman" w:hAnsi="Times New Roman" w:eastAsia="Times New Roman" w:cs="Times New Roman"/>
          <w:color w:val="000000"/>
          <w:u w:val="none"/>
        </w:rPr>
        <w:t xml:space="preserve">Владелец предоставил PDF «fsp-lct-2026-IZMENENIA» и поручил перенести сведения о своей команде в конкурсную презентацию. Логотип «Студия 37» и четыре портрета взяты из этого файла; имена и роли не изменены. Телефоны и Telegram перенесены в публичный PPTX. 11 октября 2026 года владелец подтвердил, что участники согласны на публикацию всех предоставленных сведений и контактов. Оригинальный PDF хранится вне Git. Происхождение и SHA-256 зафиксированы в </w:t>
      </w:r>
      <w:hyperlink r:id="rId53">
        <w:r>
          <w:rPr>
            <w:rFonts w:ascii="Times New Roman" w:hAnsi="Times New Roman" w:eastAsia="Times New Roman" w:cs="Times New Roman"/>
            <w:color w:val="000000"/>
            <w:u w:val="none"/>
          </w:rPr>
          <w:t xml:space="preserve">документе 47</w:t>
        </w:r>
      </w:hyperlink>
      <w:r>
        <w:rPr>
          <w:rFonts w:ascii="Times New Roman" w:hAnsi="Times New Roman" w:eastAsia="Times New Roman" w:cs="Times New Roman"/>
          <w:color w:val="000000"/>
          <w:u w:val="none"/>
        </w:rPr>
        <w:t>. Материалы включены для представления команды в конкурсном выпуске; общей лицензии на портреты, товарные знаки или их стороннее коммерческое использование эта публикация не создаёт.</w:t>
      </w:r>
    </w:p>
    <w:p>
      <w:pPr>
        <w:pStyle w:val="Heading1"/>
        <w:pageBreakBefore/>
      </w:pPr>
      <w:bookmarkStart w:id="5" w:name="doc_60"/>
      <w:r>
        <w:rPr>
          <w:rFonts w:ascii="Times New Roman" w:hAnsi="Times New Roman" w:eastAsia="Times New Roman" w:cs="Times New Roman"/>
          <w:color w:val="000000"/>
          <w:u w:val="none"/>
        </w:rPr>
        <w:t>60. Ссылки и порядок сдачи решения</w:t>
      </w:r>
      <w:bookmarkEnd w:id="5"/>
    </w:p>
    <w:p>
      <w:r>
        <w:rPr>
          <w:rFonts w:ascii="Times New Roman" w:hAnsi="Times New Roman" w:eastAsia="Times New Roman" w:cs="Times New Roman"/>
          <w:color w:val="000000"/>
          <w:u w:val="none"/>
        </w:rPr>
        <w:t xml:space="preserve">Команда — «Студия 37». Целевой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Код, документация, презентация и видео доступны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 xml:space="preserve">До публикации тега ссылки на release-артефакты v3 ниже являются целевыми. Индивидуальный режим уже активирован на внешнем домене, но его полная приёмка ограничена заявленным конкурсным контуром. Выбранный PostgreSQL-набор прошёл 76/76, live browser-матрица — шесть потоков двух ролей в трёх движках, негативный HTTPS-набор — 10/10. Это не полный PG-suite и не pentest. Неизменяемый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сохраняет исторический способ входа; его общие данные входа не используются после активации v3.</w:t>
      </w:r>
    </w:p>
    <w:p>
      <w:r>
        <w:rPr>
          <w:rFonts w:ascii="Times New Roman" w:hAnsi="Times New Roman" w:eastAsia="Times New Roman" w:cs="Times New Roman"/>
          <w:color w:val="000000"/>
          <w:u w:val="none"/>
        </w:rPr>
        <w:t xml:space="preserve">Внешний TLS health v3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Это подтверждает активацию, но не заменяет итоговый протокол функциональной и security-приёмки.</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54">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55">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56">
              <w:r>
                <w:rPr>
                  <w:rFonts w:ascii="Times New Roman" w:hAnsi="Times New Roman" w:eastAsia="Times New Roman" w:cs="Times New Roman"/>
                  <w:color w:val="000000"/>
                  <w:u w:val="none"/>
                </w:rPr>
                <w:t xml:space="preserve">PowerPoint по предоставленным конкурсным материалам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57">
              <w:r>
                <w:rPr>
                  <w:rFonts w:ascii="Times New Roman" w:hAnsi="Times New Roman" w:eastAsia="Times New Roman" w:cs="Times New Roman"/>
                  <w:color w:val="000000"/>
                  <w:u w:val="none"/>
                </w:rPr>
                <w:t xml:space="preserve">Временный демо-стенд</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58">
              <w:r>
                <w:rPr>
                  <w:rFonts w:ascii="Times New Roman" w:hAnsi="Times New Roman" w:eastAsia="Times New Roman" w:cs="Times New Roman"/>
                  <w:color w:val="000000"/>
                  <w:u w:val="none"/>
                </w:rPr>
                <w:t xml:space="preserve">Выпуск: видео,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59">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60">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Полный комплект документов: </w:t>
      </w:r>
      <w:hyperlink r:id="rId61">
        <w:r>
          <w:rPr>
            <w:rFonts w:ascii="Times New Roman" w:hAnsi="Times New Roman" w:eastAsia="Times New Roman" w:cs="Times New Roman"/>
            <w:color w:val="000000"/>
            <w:u w:val="none"/>
          </w:rPr>
          <w:t xml:space="preserve">fsp-documents-gost.zip</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PPTX уточнён по предоставленному 16-страничному PDF: в слайды 1–4 добавлены подтверждённые сведения о команде, имена, роли, фотографии, телефоны и Telegram с подтверждённого владельцем согласия участников; слайды 11 и 16 обновлены для v3. Остальные продуктовые слайды сохранены. Общий исходный PPTX не объявляется подтверждённым официальным шаблоном ЛЦТ 2026. SHA-256 файла —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вход жюри</w:t>
      </w:r>
    </w:p>
    <w:p>
      <w:r>
        <w:rPr>
          <w:rFonts w:ascii="Times New Roman" w:hAnsi="Times New Roman" w:eastAsia="Times New Roman" w:cs="Times New Roman"/>
          <w:color w:val="000000"/>
          <w:u w:val="none"/>
        </w:rPr>
        <w:t>Для активированного индивидуального режима: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Откройте </w:t>
      </w:r>
      <w:hyperlink r:id="rId57">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нет.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Выберите «Создать доступ жюри» и роль: кандидат или работодатель.</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Придумайте пароль длиной 12–128 символов и повторите его.</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Подтвердите согласие с правилами синтетического демо и отправьте форму.</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Сайт сразу войдёт в новый аккаунт и покажет сгенерированный логин вида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Скопируйте и сохраните его: письмо не отправляется, а восстановление через email отсутствует. Имя и контакт создаются автоматически как синтетические значения.</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После выхода войдите с сохранённым логином и собственным паролем. Для проверки второй роли создайте отдельный аккаунт.</w:t>
      </w:r>
    </w:p>
    <w:p>
      <w:r>
        <w:rPr>
          <w:rFonts w:ascii="Times New Roman" w:hAnsi="Times New Roman" w:eastAsia="Times New Roman" w:cs="Times New Roman"/>
          <w:color w:val="000000"/>
          <w:u w:val="none"/>
        </w:rPr>
        <w:t>Логин является синтетическим идентификатором, а не реальным почтовым адресом. Не вводите настоящие ФИО, email, телефоны, фотографии, резюме, сообщения или другие сведения людей. Используйте вымышленные данные во всех свободных полях. Интерфейс и сервер уменьшают риск случайного ввода, но не могут гарантировать, что посетитель никогда не внесёт реальные сведения вручную.</w:t>
      </w:r>
    </w:p>
    <w:p>
      <w:r>
        <w:rPr>
          <w:rFonts w:ascii="Times New Roman" w:hAnsi="Times New Roman" w:eastAsia="Times New Roman" w:cs="Times New Roman"/>
          <w:color w:val="000000"/>
          <w:u w:val="none"/>
        </w:rPr>
        <w:t>Общих аккаунтов и общего пароля в v3 нет. Опубликованные в историческом v2 seed-логины отключаются, их сессии отзываются. Регистрация рассчитана максимум на 200 индивидуальных jury-аккаунтов и ограничена пятью созданиями в час на клиентский IP; вход ограничен десятью попытками в минуту на IP. Локальные и выбранные PostgreSQL-тесты этих пределов пройдены; внешняя негативная HTTPS-проверка прошла 10/10. Пороговые rate-limit кейсы проверены адресно, но отдельный внешний нагрузочный тест не проводился.</w:t>
      </w:r>
    </w:p>
    <w:p>
      <w:r>
        <w:rPr>
          <w:rFonts w:ascii="Times New Roman" w:hAnsi="Times New Roman" w:eastAsia="Times New Roman" w:cs="Times New Roman"/>
          <w:color w:val="000000"/>
          <w:u w:val="none"/>
        </w:rPr>
        <w:t xml:space="preserve">Live-протоколы: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Они не содержат credentials.</w:t>
      </w:r>
    </w:p>
    <w:p>
      <w:pPr>
        <w:pStyle w:val="Heading2"/>
      </w:pPr>
      <w:r>
        <w:rPr>
          <w:rFonts w:ascii="Times New Roman" w:hAnsi="Times New Roman" w:eastAsia="Times New Roman" w:cs="Times New Roman"/>
          <w:color w:val="000000"/>
          <w:u w:val="none"/>
        </w:rPr>
        <w:t>3. Временный домен и функциональные границы</w:t>
      </w:r>
    </w:p>
    <w:p>
      <w:r>
        <w:rPr>
          <w:rFonts w:ascii="Times New Roman" w:hAnsi="Times New Roman" w:eastAsia="Times New Roman" w:cs="Times New Roman"/>
          <w:color w:val="000000"/>
          <w:u w:val="none"/>
        </w:rPr>
        <w:t xml:space="preserve">Стенд проходит через отдельный nginx vhost российского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и зашифрованный обратный SSH-туннель к NAS в России. Физическое размещение NAS подтверждено владельцем; это не независимый вывод GeoIP. Оператор стенда — Колесников Никита Юрьевич,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Публичные страницы политики и правил рекомендаций доступны без входа. Остальные ресурсы приложения требуют индивидуальную сессию. Почта, подтверждение email, PDF-импорт, ФСП mock и внешняя LLM на стенде отключены. Google/Apple OAuth и другие иностранные провайдеры входа не используются. Базовые задания работают без модели; пользовательский код исполняется в одноразовой VM runner.</w:t>
      </w:r>
    </w:p>
    <w:p>
      <w:r>
        <w:rPr>
          <w:rFonts w:ascii="Times New Roman" w:hAnsi="Times New Roman" w:eastAsia="Times New Roman" w:cs="Times New Roman"/>
          <w:color w:val="000000"/>
          <w:u w:val="none"/>
        </w:rPr>
        <w:t>ТЗ §2.2 требует регистрацию по электронной почте с подтверждением адреса. Она сохраняется в полном локальном режиме с mock-почтой. Синтетический индивидуальный jury-flow создан только для безопасной публичной конкурсной проверки и не выдаётся за замену обязательного пути ТЗ.</w:t>
      </w:r>
    </w:p>
    <w:p>
      <w:hyperlink r:id="rId62">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 xml:space="preserve"> и локальная инструкция остаются резервом. Экранная запись действий сделана 9 октября и не показывает новый экран регистрации. Последние ~36 секунд пересобраны 11 октября в Remotion и теперь объясняют индивидуальный вход v3. Итоговый файл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Текущая доступность домена не гарантирует работу весь срок оценки: владелец контролирует питание NAS, VPS и домен. Письменный ответ E10 допускает видео вместо живого стенда и рекомендует держать стенд весь период оценки; если это невозможно, срок согласуют с организаторами отдельно.</w:t>
      </w:r>
    </w:p>
    <w:p>
      <w:pPr>
        <w:pStyle w:val="Heading2"/>
      </w:pPr>
      <w:r>
        <w:rPr>
          <w:rFonts w:ascii="Times New Roman" w:hAnsi="Times New Roman" w:eastAsia="Times New Roman" w:cs="Times New Roman"/>
          <w:color w:val="000000"/>
          <w:u w:val="none"/>
        </w:rPr>
        <w:t>4. Основание и права</w:t>
      </w:r>
    </w:p>
    <w:p>
      <w:r>
        <w:rPr>
          <w:rFonts w:ascii="Times New Roman" w:hAnsi="Times New Roman" w:eastAsia="Times New Roman" w:cs="Times New Roman"/>
          <w:color w:val="000000"/>
          <w:u w:val="none"/>
        </w:rPr>
        <w:t xml:space="preserve">ТЗ §5.2 требует ссылку на код, презентацию и сопроводительную документацию; развёрнутый прототип крайне желателен. При невозможности размещения допускаются видео и чёткая инструкция локального запуска. Репозиторий публичный, но общая лицензия собственного кода не выбрана. Авторские права на шаблон, официальные знаки и сторонние компоненты не присваиваются команде.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 xml:space="preserve">, правовая и эксплуатационная граница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xml:space="preserve">, запуск —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Форма конкурса и письма поддержки автоматически не отправляются.</w:t>
      </w:r>
    </w:p>
    <w:p>
      <w:pPr>
        <w:pStyle w:val="Heading1"/>
        <w:pageBreakBefore/>
      </w:pPr>
      <w:bookmarkStart w:id="6" w:name="doc_61"/>
      <w:r>
        <w:rPr>
          <w:rFonts w:ascii="Times New Roman" w:hAnsi="Times New Roman" w:eastAsia="Times New Roman" w:cs="Times New Roman"/>
          <w:color w:val="000000"/>
          <w:u w:val="none"/>
        </w:rPr>
        <w:t>61. Временный стенд жюри на собственном домене и NAS</w:t>
      </w:r>
      <w:bookmarkEnd w:id="6"/>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xml:space="preserve">. Эти результаты относятся к историческому v2. Индивидуальный v3 теперь активирован отдельно: внешний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Полная PostgreSQL/browser/HTTP-приёмка заявленного конкурсного контура завершена: выбранный PostgreSQL-набор прошёл 76/76, browser — шесть потоков двух ролей в трёх движках, HTTPS — 10/10. Полный PG-suite и pentest не проводились.</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Целевой v3 не публикует общий пользовательский пароль; каждый проверяющий задаёт собственный.</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Целевой индивидуальный показ v3</w:t>
      </w:r>
    </w:p>
    <w:p>
      <w:r>
        <w:rPr>
          <w:rFonts w:ascii="Times New Roman" w:hAnsi="Times New Roman" w:eastAsia="Times New Roman" w:cs="Times New Roman"/>
          <w:color w:val="000000"/>
          <w:u w:val="none"/>
        </w:rPr>
        <w:t xml:space="preserve">Целевой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открывается без внешнего Basic Auth и без общих аккаунтов. Каждый проверяющий создаёт отдельный синтетический аккаунт кандидата или работодателя, задаёт собственный пароль и получает непрозрачный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Старые seed-логины отключаются, их сессии отзываются. Пароли БД, NAS/VPS, SSH-ключи и runner token остаются закрытыми.</w:t>
      </w:r>
    </w:p>
    <w:p>
      <w:r>
        <w:rPr>
          <w:rFonts w:ascii="Times New Roman" w:hAnsi="Times New Roman" w:eastAsia="Times New Roman" w:cs="Times New Roman"/>
          <w:color w:val="000000"/>
          <w:u w:val="none"/>
        </w:rPr>
        <w:t xml:space="preserve">Пятый override </w:t>
      </w:r>
      <w:r>
        <w:rPr>
          <w:rFonts w:ascii="Times New Roman" w:hAnsi="Times New Roman" w:eastAsia="Times New Roman" w:cs="Times New Roman"/>
          <w:color w:val="000000"/>
          <w:u w:val="none"/>
        </w:rPr>
        <w:t>compose.jury-individual.yaml</w:t>
      </w:r>
      <w:r>
        <w:rPr>
          <w:rFonts w:ascii="Times New Roman" w:hAnsi="Times New Roman" w:eastAsia="Times New Roman" w:cs="Times New Roman"/>
          <w:color w:val="000000"/>
          <w:u w:val="none"/>
        </w:rPr>
        <w:t xml:space="preserve"> добавляется после публичного override и включает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Запишите этот флаг в локальный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тогда использует все пять файлов для start/status/stop/validate. Без флага скрипт сохраняет исходный закрытый режим с тремя файлами и Basic Auth. Другие значения флага отклоняются. В индивидуальном режиме и </w:t>
      </w:r>
      <w:r>
        <w:rPr>
          <w:rFonts w:ascii="Times New Roman" w:hAnsi="Times New Roman" w:eastAsia="Times New Roman" w:cs="Times New Roman"/>
          <w:color w:val="000000"/>
          <w:u w:val="none"/>
        </w:rPr>
        <w:t>prepare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требуют пройденного gate; bootstrap-команда не обходит проверку внешнего доступа.</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config --quiet</w:t>
      </w:r>
      <w:r>
        <w:rPr>
          <w:rFonts w:ascii="Times New Roman" w:hAnsi="Times New Roman" w:eastAsia="Times New Roman" w:cs="Times New Roman"/>
          <w:color w:val="000000"/>
          <w:u w:val="none"/>
        </w:rPr>
        <w:t xml:space="preserve"> не печатает развёрнутую конфигурацию с секретами. Перед активацией проверяют, что compose-файл существует в целевом commit, миграции применены, а новая версия app готова. TLS завершается на ru2, Caddy на NAS слушает только loopback через relay и возвращает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Целевой предел — 200 jury-аккаунтов и пять регистраций в час на фактический клиентский IP; вход ограничен десятью попытками в минуту на IP. Для освобождения мест администратор использует только специально проверенную адресную процедуру удаления/деактивации конкретных синтетических аккаунтов и отзыва их сессий. Не применяют очистку volume,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массовое удаление таблиц или автоматический reset базы. Если штатная адресная команда ещё не поставлена и не проверена, стенд закрывают для новых регистраций и эскалируют оркестратору; данные вручную не удаляют.</w:t>
      </w:r>
    </w:p>
    <w:p>
      <w:r>
        <w:rPr>
          <w:rFonts w:ascii="Times New Roman" w:hAnsi="Times New Roman" w:eastAsia="Times New Roman" w:cs="Times New Roman"/>
          <w:color w:val="000000"/>
          <w:u w:val="none"/>
        </w:rPr>
        <w:t xml:space="preserve">Публичные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доступны без сессии; остальные ресурсы приложения требуют вход. Регистрация принимает только роль, пароль 12–128 символов с подтверждением и явное согласие. Сервер назначает синтетические имя/контакт, создаёт Secure/HttpOnly сессию на 8 часов и CSRF. Почта, реальные email, ФСП mock, PDF-импорт и внешняя LLM отключены.</w:t>
      </w:r>
    </w:p>
    <w:p>
      <w:r>
        <w:rPr>
          <w:rFonts w:ascii="Times New Roman" w:hAnsi="Times New Roman" w:eastAsia="Times New Roman" w:cs="Times New Roman"/>
          <w:color w:val="000000"/>
          <w:u w:val="none"/>
        </w:rPr>
        <w:t>Форма создания отдельного аккаунта показана на рисунке 6. Снимок получен на внешнем синтетическом стенде 11 октября 2026 года до ввода пароля.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2436795"/>
            <wp:docPr id="6" name="jury-registration" descr="Создание отдельного синтетического аккаунта на стенде жюри"/>
            <wp:cNvGraphicFramePr>
              <a:graphicFrameLocks noChangeAspect="1"/>
            </wp:cNvGraphicFramePr>
            <a:graphic>
              <a:graphicData uri="http://schemas.openxmlformats.org/drawingml/2006/picture">
                <pic:pic>
                  <pic:nvPicPr>
                    <pic:cNvPr id="0" name="jury-registration.png"/>
                    <pic:cNvPicPr/>
                  </pic:nvPicPr>
                  <pic:blipFill>
                    <a:blip r:embed="rId63"/>
                    <a:stretch>
                      <a:fillRect/>
                    </a:stretch>
                  </pic:blipFill>
                  <pic:spPr>
                    <a:xfrm>
                      <a:off x="0" y="0"/>
                      <a:ext cx="5940000" cy="243679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Создание отдельного синтетического аккаунта на стенде жюри</w:t>
      </w:r>
    </w:p>
    <w:p>
      <w:pPr>
        <w:pStyle w:val="GOSTFigureSource"/>
      </w:pPr>
      <w:r>
        <w:rPr>
          <w:rFonts w:ascii="Times New Roman" w:hAnsi="Times New Roman" w:eastAsia="Times New Roman" w:cs="Times New Roman"/>
          <w:color w:val="000000"/>
          <w:sz w:val="24"/>
          <w:u w:val="none"/>
        </w:rPr>
        <w:t>Источник: Внешний синтетический стенд fsptest.kolesnikovny.ru, Chromium; 11 октября 2026 года, до ввода пароля.</w:t>
      </w:r>
    </w:p>
    <w:p>
      <w:r>
        <w:rPr>
          <w:rFonts w:ascii="Times New Roman" w:hAnsi="Times New Roman" w:eastAsia="Times New Roman" w:cs="Times New Roman"/>
          <w:color w:val="000000"/>
          <w:u w:val="none"/>
        </w:rPr>
        <w:t xml:space="preserve">Локально прошли полный SQLite-набор 565 passed, 5 skipped и шесть подтестов за 469,91 с, адресный auth-набор 141 passed, 3 skipped за 48,74 с, шесть relay CLI-тестов и независимый gate из 23 auth-тестов с script/Compose. На NAS развёрнут healthy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relay fix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Закреплённый Caddy прошёл на NAS </w:t>
      </w:r>
      <w:r>
        <w:rPr>
          <w:rFonts w:ascii="Times New Roman" w:hAnsi="Times New Roman" w:eastAsia="Times New Roman" w:cs="Times New Roman"/>
          <w:color w:val="000000"/>
          <w:u w:val="none"/>
        </w:rPr>
        <w:t>Valid configuration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--network 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--cap-drop ALL</w:t>
      </w:r>
      <w:r>
        <w:rPr>
          <w:rFonts w:ascii="Times New Roman" w:hAnsi="Times New Roman" w:eastAsia="Times New Roman" w:cs="Times New Roman"/>
          <w:color w:val="000000"/>
          <w:u w:val="none"/>
        </w:rPr>
        <w:t xml:space="preserve">, единственной добавленной </w:t>
      </w:r>
      <w:r>
        <w:rPr>
          <w:rFonts w:ascii="Times New Roman" w:hAnsi="Times New Roman" w:eastAsia="Times New Roman" w:cs="Times New Roman"/>
          <w:color w:val="000000"/>
          <w:u w:val="none"/>
        </w:rPr>
        <w:t>NET_BIND_SERVICE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Это не полный PostgreSQL-набор. Заявленный live-набор завершён: 6 browser-потоков и 10 HTTPS-проверок, включая 401 для обоих старых shared credentials. Удаление seed-сессий и rate-limit пороги покрыты адресными локальными/PG-тестами; отдельной внешней нагрузки не было. Протокол v2 остаётся историческим. Receipts: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Фактический restart сохранил существующую candidate-сессию и пароли обеих ролей; cookie подтвердила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hyperlink r:id="rId64">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режиме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целевой индивидуальный v3 описан выше и не публикует общий пользовательский пароль. После окончания оценки созданные jury-аккаунты деактивируют адресной проверенной процедурой и отзывают сессии.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Историческое разрешение публикации общего seed-пароля не распространяется на v3.</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Флаг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должен быть установлен до запуска; при его отсутствии будет выбран закрытый режим.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индивидуального v3</w:t>
      </w:r>
    </w:p>
    <w:p>
      <w:r>
        <w:rPr>
          <w:rFonts w:ascii="Times New Roman" w:hAnsi="Times New Roman" w:eastAsia="Times New Roman" w:cs="Times New Roman"/>
          <w:color w:val="000000"/>
          <w:u w:val="none"/>
        </w:rPr>
        <w:t>До публикации тега проверяют из внешней сети и фиксируют commit, время и результаты в новом протоколе:</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GET /legal/privacy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возвращают 200 без входа; продуктовые ресурсы требуют сессию, Basic Auth не появляется.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Регистрация кандидата и работодателя принимает пароль 12–128 символов, совпадающее подтверждение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иные роли, отсутствие согласия, короткий/длинный пароль отклоняются.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Ответ выдаёт только серверный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синтетические defaults, Secure/HttpOnly cookie на 8 часов и CSRF. Реальный email отправить нельзя.</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После logout сохранённый логин и пароль снова входят, а неверный пароль нет. Старые seed-пароли и сессии v2 не работают.</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Срабатывают 5 регистраций в час на реальный IP и общий предел 200 аккаунтов; поддельный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обходит лимит.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Email-flow, mock-mail, resume import, ФСП mock, Google/Apple OAuth,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БД, Docker API, NAS admin и runner недоступны снаружи.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VM-задача проходит через фактический runner; LLM остаётся выключенной.</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Адресная деактивация одного тестового jury-аккаунта отзывает только его сессии и освобождает ровно одно место, не затрагивая остальных.</w:t>
      </w:r>
    </w:p>
    <w:p>
      <w:r>
        <w:rPr>
          <w:rFonts w:ascii="Times New Roman" w:hAnsi="Times New Roman" w:eastAsia="Times New Roman" w:cs="Times New Roman"/>
          <w:color w:val="000000"/>
          <w:u w:val="none"/>
        </w:rPr>
        <w:t>V3 активирован; перечисленные browser/HTTPS-пункты пройдены. Проверка ограничена указанными сценариями и не является полным pentest или нагрузочным испытанием.</w:t>
      </w:r>
    </w:p>
    <w:p>
      <w:pPr>
        <w:pStyle w:val="Heading2"/>
      </w:pPr>
      <w:r>
        <w:rPr>
          <w:rFonts w:ascii="Times New Roman" w:hAnsi="Times New Roman" w:eastAsia="Times New Roman" w:cs="Times New Roman"/>
          <w:color w:val="000000"/>
          <w:u w:val="none"/>
        </w:rPr>
        <w:t>7.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Это действие только для окончательного вывода стенда из эксплуатации, а не для освобождения лимита аккаунтов; автоматически его не запускают.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65">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66">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67">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7" w:name="doc_62"/>
      <w:r>
        <w:rPr>
          <w:rFonts w:ascii="Times New Roman" w:hAnsi="Times New Roman" w:eastAsia="Times New Roman" w:cs="Times New Roman"/>
          <w:color w:val="000000"/>
          <w:u w:val="none"/>
        </w:rPr>
        <w:t>62. Видео демонстрации и пояснения</w:t>
      </w:r>
      <w:bookmarkEnd w:id="7"/>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68">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69">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70">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 Итоговый файл содержит 8118 кадров, занимает 17 997 441 байт и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SRT, WebVTT и JSON содержат одинаковые 50 обновлённых подписей.</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71">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Целевой внешний </w:t>
      </w:r>
      <w:hyperlink r:id="rId57">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и создаёт отдельный синтетический аккаунт для каждого проверяющего: роль, собственный пароль, согласие и выдаваемый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Почта, реальные email, PDF-импорт и ФСП mock отключены; модель не подключена. Экранная запись от 9 октября не показывает новый интерфейс регистрации. Последние ~36 секунд ролика пересобраны 11 октября в Remotion и содержат актуальную текстовую инструкцию v3; это поясняющая вставка, а не запись live-UI. Режим активирован; выбранный PostgreSQL-набор прошёл 76/76, live browser — шесть потоков двух ролей в трёх движках, негативный HTTPS-набор — 10/10. Полный локальный режим запускается по </w:t>
      </w:r>
      <w:hyperlink r:id="rId17">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54">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целевой v3 не публикует общие логины или пароль.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Remotion-вставка описывает выбор роли, создание отдельного аккаунта, сохранение выданного логина и собственный пароль. Актуальный порядок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целевом выпуске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Перемонтаж концовки не меняет историческую экранную запись действий и сам по себе не подтверждает новый внешний flow.</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72">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 Проверка текущего MP4 — </w:t>
      </w:r>
      <w:hyperlink r:id="rId73">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w:t>
      </w:r>
    </w:p>
    <w:p>
      <w:pPr>
        <w:pStyle w:val="Heading1"/>
        <w:pageBreakBefore/>
      </w:pPr>
      <w:bookmarkStart w:id="8" w:name="doc_63"/>
      <w:r>
        <w:rPr>
          <w:rFonts w:ascii="Times New Roman" w:hAnsi="Times New Roman" w:eastAsia="Times New Roman" w:cs="Times New Roman"/>
          <w:color w:val="000000"/>
          <w:u w:val="none"/>
        </w:rPr>
        <w:t>63. Доступ жюри к коду и материалам</w:t>
      </w:r>
      <w:bookmarkEnd w:id="8"/>
    </w:p>
    <w:p>
      <w:r>
        <w:rPr>
          <w:rFonts w:ascii="Times New Roman" w:hAnsi="Times New Roman" w:eastAsia="Times New Roman" w:cs="Times New Roman"/>
          <w:color w:val="000000"/>
          <w:u w:val="none"/>
        </w:rPr>
        <w:t xml:space="preserve">Конкурсный выпуск </w:t>
      </w:r>
      <w:hyperlink r:id="rId54">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54">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r:id="rId17">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Целевой датированный комплект закрепляется тегом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После его публикации для точного воспроизведения выполните </w:t>
      </w:r>
      <w:r>
        <w:rPr>
          <w:rFonts w:ascii="Times New Roman" w:hAnsi="Times New Roman" w:eastAsia="Times New Roman" w:cs="Times New Roman"/>
          <w:color w:val="000000"/>
          <w:u w:val="none"/>
        </w:rPr>
        <w:t>git checkout lct-2026-jury-v3</w:t>
      </w:r>
      <w:r>
        <w:rPr>
          <w:rFonts w:ascii="Times New Roman" w:hAnsi="Times New Roman" w:eastAsia="Times New Roman" w:cs="Times New Roman"/>
          <w:color w:val="000000"/>
          <w:u w:val="none"/>
        </w:rPr>
        <w:t xml:space="preserve">. Исходный ZIP доступен на </w:t>
      </w:r>
      <w:hyperlink r:id="rId58">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 xml:space="preserve">. До появления тега и протокола v3 эти ссылки являются целевыми.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неизменяемым историческим срезом.</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5">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6">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62">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61">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57">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В целевом v3 выберите роль, задайте собственный пароль 12–128 символов, подтвердите его и согласие. Сайт сразу выдаст синтетический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скопируйте и сохраните его для входа после выхода. Общих логинов и пароля нет, письмо не отправляется. Полный порядок —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Видео и самостоятельный локальный запуск остаются резервом; пароли NAS, VPS и базы данных для проверки не требуются.</w:t>
      </w:r>
    </w:p>
    <w:p>
      <w:r>
        <w:rPr>
          <w:rFonts w:ascii="Times New Roman" w:hAnsi="Times New Roman" w:eastAsia="Times New Roman" w:cs="Times New Roman"/>
          <w:color w:val="000000"/>
          <w:u w:val="none"/>
        </w:rPr>
        <w:t>Индивидуальный v3 уже активирован: внешний TLS health подтверждает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Публикация тега и итоговый протокол ещё готовятся; выбранный PostgreSQL-набор прошёл 76/76, live browser — шесть потоков двух ролей в трёх движках, негативный HTTPS-набор — 10/10.</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74">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5">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6">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56-technical-report.md" TargetMode="External"/><Relationship Id="rId14" Type="http://schemas.openxmlformats.org/officeDocument/2006/relationships/image" Target="media/image3.png"/><Relationship Id="rId15" Type="http://schemas.openxmlformats.org/officeDocument/2006/relationships/hyperlink" Target="45-ai-answer-check-and-training-package.md" TargetMode="External"/><Relationship Id="rId16" Type="http://schemas.openxmlformats.org/officeDocument/2006/relationships/hyperlink" Target="18-api-guide.md" TargetMode="External"/><Relationship Id="rId17" Type="http://schemas.openxmlformats.org/officeDocument/2006/relationships/hyperlink" Target="53-self-deployment.md" TargetMode="External"/><Relationship Id="rId18" Type="http://schemas.openxmlformats.org/officeDocument/2006/relationships/hyperlink" Target="release/2026-10-11-jury-v3/live-browser.json" TargetMode="External"/><Relationship Id="rId19" Type="http://schemas.openxmlformats.org/officeDocument/2006/relationships/hyperlink" Target="release/2026-10-11-jury-v3/live-http.json" TargetMode="External"/><Relationship Id="rId20" Type="http://schemas.openxmlformats.org/officeDocument/2006/relationships/hyperlink" Target="48-release-acceptance.md" TargetMode="External"/><Relationship Id="rId21" Type="http://schemas.openxmlformats.org/officeDocument/2006/relationships/hyperlink" Target="release/2026-10-11-completion/nas-live-api.json" TargetMode="External"/><Relationship Id="rId22" Type="http://schemas.openxmlformats.org/officeDocument/2006/relationships/hyperlink" Target="release/2026-10-11-completion/nas-live-ui.json" TargetMode="External"/><Relationship Id="rId23" Type="http://schemas.openxmlformats.org/officeDocument/2006/relationships/hyperlink" Target="57-project-report.md" TargetMode="External"/><Relationship Id="rId24" Type="http://schemas.openxmlformats.org/officeDocument/2006/relationships/hyperlink" Target="../requirements/traceability.md" TargetMode="External"/><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hyperlink" Target="../requirements/qa-written-fsp-2026.md" TargetMode="External"/><Relationship Id="rId28" Type="http://schemas.openxmlformats.org/officeDocument/2006/relationships/hyperlink" Target="../requirements/sources.json" TargetMode="External"/><Relationship Id="rId29" Type="http://schemas.openxmlformats.org/officeDocument/2006/relationships/hyperlink" Target="release/2026-10-11-tz-recheck/audit.json" TargetMode="External"/><Relationship Id="rId30" Type="http://schemas.openxmlformats.org/officeDocument/2006/relationships/hyperlink" Target="release/2026-10-11-legal-submission/final-verification.json" TargetMode="External"/><Relationship Id="rId31" Type="http://schemas.openxmlformats.org/officeDocument/2006/relationships/hyperlink" Target="00-status.md" TargetMode="External"/><Relationship Id="rId32" Type="http://schemas.openxmlformats.org/officeDocument/2006/relationships/hyperlink" Target="https://www.consultant.ru/document/cons_doc_LAW_61798/78b773a28f3ad19eb234697b20ab1d48c09f748a/" TargetMode="External"/><Relationship Id="rId33" Type="http://schemas.openxmlformats.org/officeDocument/2006/relationships/hyperlink" Target="https://publication.pravo.gov.ru/document/0001202307310022" TargetMode="External"/><Relationship Id="rId34" Type="http://schemas.openxmlformats.org/officeDocument/2006/relationships/hyperlink" Target="https://www.consultant.ru/document/cons_doc_LAW_34661/eecaf3bcdcd8f21011f025127298179a3bfd8877/" TargetMode="External"/><Relationship Id="rId35" Type="http://schemas.openxmlformats.org/officeDocument/2006/relationships/hyperlink" Target="https://publication.pravo.gov.ru/document/0001202606260053" TargetMode="External"/><Relationship Id="rId36" Type="http://schemas.openxmlformats.org/officeDocument/2006/relationships/hyperlink" Target="https://www.consultant.ru/document/cons_doc_LAW_61798/2a69c627d62738291fe0a0fd4c1253385e730784/" TargetMode="External"/><Relationship Id="rId37" Type="http://schemas.openxmlformats.org/officeDocument/2006/relationships/hyperlink" Target="../src/domain.py" TargetMode="External"/><Relationship Id="rId38" Type="http://schemas.openxmlformats.org/officeDocument/2006/relationships/hyperlink" Target="https://www.consultant.ru/document/cons_doc_LAW_34661/32b1d73e2b548ee988d4c3d446900ed78bc161f0/" TargetMode="External"/><Relationship Id="rId39" Type="http://schemas.openxmlformats.org/officeDocument/2006/relationships/hyperlink" Target="https://www.consultant.ru/document/cons_doc_LAW_61801/eeeebe22bf738fd65bb66b95cc278911ae2525ee/" TargetMode="External"/><Relationship Id="rId40" Type="http://schemas.openxmlformats.org/officeDocument/2006/relationships/hyperlink" Target="https://www.consultant.ru/document/cons_doc_LAW_61801/d996966e22e1320c9de1ab82d9f6be12c3d9d765/" TargetMode="External"/><Relationship Id="rId41" Type="http://schemas.openxmlformats.org/officeDocument/2006/relationships/hyperlink" Target="https://www.consultant.ru/document/cons_doc_LAW_61801/ca9e5658710519f09ab2fdb8196fcb3eb024a051/" TargetMode="External"/><Relationship Id="rId42" Type="http://schemas.openxmlformats.org/officeDocument/2006/relationships/hyperlink" Target="https://www.consultant.ru/document/cons_doc_LAW_61801/d3fe43a7c415353b17faab255bc0de92bea127da/" TargetMode="External"/><Relationship Id="rId43" Type="http://schemas.openxmlformats.org/officeDocument/2006/relationships/hyperlink" Target="https://www.consultant.ru/document/cons_doc_LAW_61801/6c94959bc017ac80140621762d2ac59f6006b08c/" TargetMode="External"/><Relationship Id="rId44" Type="http://schemas.openxmlformats.org/officeDocument/2006/relationships/hyperlink" Target="https://www.consultant.ru/document/cons_doc_LAW_61801/591acc70f577873c1ee54765eda110b7a0271eaf/" TargetMode="External"/><Relationship Id="rId45" Type="http://schemas.openxmlformats.org/officeDocument/2006/relationships/hyperlink" Target="https://www.consultant.ru/document/Cons_doc_LAW_61801/cbf4e15b7c330f9372e876cdf2bc928bad7950ef/" TargetMode="External"/><Relationship Id="rId46" Type="http://schemas.openxmlformats.org/officeDocument/2006/relationships/hyperlink" Target="https://www.consultant.ru/document/cons_doc_LAW_61801/e4ebbe1780de623c7cf32a59ca82a7bb523a25dd/" TargetMode="External"/><Relationship Id="rId47" Type="http://schemas.openxmlformats.org/officeDocument/2006/relationships/hyperlink" Target="https://www.consultant.ru/document/cons_doc_LAW_58968/f892dec1383709792452f18d36e7043306e2be0a/" TargetMode="External"/><Relationship Id="rId48" Type="http://schemas.openxmlformats.org/officeDocument/2006/relationships/hyperlink" Target="third-party-components.json" TargetMode="External"/><Relationship Id="rId49" Type="http://schemas.openxmlformats.org/officeDocument/2006/relationships/hyperlink" Target="https://www.398-fz.rkn.gov.ru/docs/149-FZ.pdf" TargetMode="External"/><Relationship Id="rId50" Type="http://schemas.openxmlformats.org/officeDocument/2006/relationships/hyperlink" Target="https://huggingface.co/Qwen/Qwen3-4B-Instruct-2507/tree/cdbee75f17c01a7cc42f958dc650907174af0554" TargetMode="External"/><Relationship Id="rId51" Type="http://schemas.openxmlformats.org/officeDocument/2006/relationships/hyperlink" Target="https://huggingface.co/Qwen/Qwen3-4B-Instruct-2507/blob/cdbee75f17c01a7cc42f958dc650907174af0554/LICENSE" TargetMode="External"/><Relationship Id="rId52" Type="http://schemas.openxmlformats.org/officeDocument/2006/relationships/hyperlink" Target="https://www.apache.org/licenses/LICENSE-2.0" TargetMode="External"/><Relationship Id="rId53" Type="http://schemas.openxmlformats.org/officeDocument/2006/relationships/hyperlink" Target="47-presentation.md" TargetMode="External"/><Relationship Id="rId54" Type="http://schemas.openxmlformats.org/officeDocument/2006/relationships/hyperlink" Target="https://github.com/punkpsyh-hash/Fsp" TargetMode="External"/><Relationship Id="rId55" Type="http://schemas.openxmlformats.org/officeDocument/2006/relationships/hyperlink" Target="https://github.com/punkpsyh-hash/Fsp/releases/download/lct-2026-jury-v3/documentation.pdf" TargetMode="External"/><Relationship Id="rId56" Type="http://schemas.openxmlformats.org/officeDocument/2006/relationships/hyperlink" Target="https://github.com/punkpsyh-hash/Fsp/releases/download/lct-2026-jury-v3/fsp-lct-2026.pptx" TargetMode="External"/><Relationship Id="rId57" Type="http://schemas.openxmlformats.org/officeDocument/2006/relationships/hyperlink" Target="https://fsptest.kolesnikovny.ru" TargetMode="External"/><Relationship Id="rId58" Type="http://schemas.openxmlformats.org/officeDocument/2006/relationships/hyperlink" Target="https://github.com/punkpsyh-hash/Fsp/releases/tag/lct-2026-jury-v3" TargetMode="External"/><Relationship Id="rId59" Type="http://schemas.openxmlformats.org/officeDocument/2006/relationships/hyperlink" Target="https://github.com/punkpsyh-hash/Fsp/releases/download/lct-2026-jury-v3/self-deployment-guide.docx" TargetMode="External"/><Relationship Id="rId60" Type="http://schemas.openxmlformats.org/officeDocument/2006/relationships/hyperlink" Target="https://github.com/punkpsyh-hash/Fsp/releases/download/lct-2026-jury-v3/self-deployment-guide.pdf" TargetMode="External"/><Relationship Id="rId61" Type="http://schemas.openxmlformats.org/officeDocument/2006/relationships/hyperlink" Target="https://github.com/punkpsyh-hash/Fsp/releases/download/lct-2026-jury-v3/fsp-documents-gost.zip" TargetMode="External"/><Relationship Id="rId62" Type="http://schemas.openxmlformats.org/officeDocument/2006/relationships/hyperlink" Target="https://github.com/punkpsyh-hash/Fsp/releases/download/lct-2026-jury-v3/demo-explained.mp4" TargetMode="External"/><Relationship Id="rId63" Type="http://schemas.openxmlformats.org/officeDocument/2006/relationships/image" Target="media/image6.png"/><Relationship Id="rId64" Type="http://schemas.openxmlformats.org/officeDocument/2006/relationships/hyperlink" Target="release/2026-10-11-jury-v3/restart-verification.json" TargetMode="External"/><Relationship Id="rId65" Type="http://schemas.openxmlformats.org/officeDocument/2006/relationships/hyperlink" Target="https://caddyserver.com/docs/automatic-https" TargetMode="External"/><Relationship Id="rId66" Type="http://schemas.openxmlformats.org/officeDocument/2006/relationships/hyperlink" Target="https://caddyserver.com/docs/caddyfile/directives/basic_auth" TargetMode="External"/><Relationship Id="rId67" Type="http://schemas.openxmlformats.org/officeDocument/2006/relationships/hyperlink" Target="https://hub.docker.com/_/caddy" TargetMode="External"/><Relationship Id="rId68" Type="http://schemas.openxmlformats.org/officeDocument/2006/relationships/hyperlink" Target="delivery/demo-explained.mp4" TargetMode="External"/><Relationship Id="rId69" Type="http://schemas.openxmlformats.org/officeDocument/2006/relationships/hyperlink" Target="delivery/demo-explained.srt" TargetMode="External"/><Relationship Id="rId70" Type="http://schemas.openxmlformats.org/officeDocument/2006/relationships/hyperlink" Target="delivery/demo-explained.vtt" TargetMode="External"/><Relationship Id="rId71" Type="http://schemas.openxmlformats.org/officeDocument/2006/relationships/hyperlink" Target="delivery/demo-explained-chapters.json" TargetMode="External"/><Relationship Id="rId72" Type="http://schemas.openxmlformats.org/officeDocument/2006/relationships/hyperlink" Target="../video/README.md" TargetMode="External"/><Relationship Id="rId73" Type="http://schemas.openxmlformats.org/officeDocument/2006/relationships/hyperlink" Target="release/2026-10-11-jury-v3/video-verification.json" TargetMode="External"/><Relationship Id="rId74" Type="http://schemas.openxmlformats.org/officeDocument/2006/relationships/hyperlink" Target="https://docs.github.com/en/repositories/creating-and-managing-repositories/cloning-a-repository" TargetMode="External"/><Relationship Id="rId75" Type="http://schemas.openxmlformats.org/officeDocument/2006/relationships/hyperlink" Target="https://docs.github.com/en/repositories/working-with-files/using-files/downloading-source-code-archives" TargetMode="External"/><Relationship Id="rId76" Type="http://schemas.openxmlformats.org/officeDocument/2006/relationships/hyperlink" Target="https://docs.github.com/en/repositories/creating-and-managing-repositories/renaming-a-repository" TargetMode="External"/><Relationship Id="rId7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Сопроводительная документация решения</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