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 w:cs="Times New Roman"/>
          <w:b/>
          <w:color w:val="000000"/>
          <w:sz w:val="28"/>
          <w:u w:val="none"/>
        </w:rPr>
        <w:t>Практическое руководство по локальному API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Дата редакции: 11 октября 2026 года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Статус: редактируемый комплект сопроводительных материалов проекта</w:t>
      </w:r>
    </w:p>
    <w:p>
      <w:pPr>
        <w:pStyle w:val="GOSTCoverMetadata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Содержание включает текущие и исторические документы; исходные даты и статусы сохранены.</w:t>
      </w:r>
    </w:p>
    <w:p>
      <w:pPr>
        <w:sectPr>
          <w:footerReference w:type="default" r:id="rId9"/>
          <w:headerReference w:type="default" r:id="rId20"/>
          <w:pgSz w:w="11906" w:h="16838"/>
          <w:pgMar w:top="1134" w:right="850" w:bottom="1134" w:left="1701" w:header="720" w:footer="567" w:gutter="0"/>
          <w:cols w:space="720"/>
          <w:docGrid w:linePitch="360"/>
        </w:sectPr>
      </w:pPr>
    </w:p>
    <w:p>
      <w:pPr>
        <w:pStyle w:val="Heading1"/>
      </w:pPr>
      <w:bookmarkStart w:id="1" w:name="doc_18"/>
      <w:r>
        <w:rPr>
          <w:rFonts w:ascii="Times New Roman" w:hAnsi="Times New Roman" w:eastAsia="Times New Roman" w:cs="Times New Roman"/>
          <w:color w:val="000000"/>
          <w:u w:val="none"/>
        </w:rPr>
        <w:t>18. Практическое руководство по локальному API</w:t>
      </w:r>
      <w:bookmarkEnd w:id="1"/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Версия сервиса: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0.4.0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сверка 9 октября 2026. Рабочая копия NAS: </w:t>
      </w:r>
      <w:r>
        <w:rPr>
          <w:rFonts w:ascii="Times New Roman" w:hAnsi="Times New Roman" w:eastAsia="Times New Roman" w:cs="Times New Roman"/>
          <w:color w:val="000000"/>
          <w:u w:val="none"/>
        </w:rPr>
        <w:t>/Volume1/projects/Fsp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Это API конкурсного продукта на синтетических данных. В контракте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87 путей и 100 операций</w:t>
      </w:r>
      <w:r>
        <w:rPr>
          <w:rFonts w:ascii="Times New Roman" w:hAnsi="Times New Roman" w:eastAsia="Times New Roman" w:cs="Times New Roman"/>
          <w:color w:val="000000"/>
          <w:u w:val="none"/>
        </w:rPr>
        <w:t>: несколько путей имеют разные методы. Официальный API ФСП этим документом не описывается.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1. Где находится контракт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Базовый адрес на NAS: </w:t>
      </w:r>
      <w:r>
        <w:rPr>
          <w:rFonts w:ascii="Times New Roman" w:hAnsi="Times New Roman" w:eastAsia="Times New Roman" w:cs="Times New Roman"/>
          <w:color w:val="000000"/>
          <w:u w:val="none"/>
        </w:rPr>
        <w:t>http://127.0.0.1:8470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Читаемая страница локального API: </w:t>
      </w:r>
      <w:r>
        <w:rPr>
          <w:rFonts w:ascii="Times New Roman" w:hAnsi="Times New Roman" w:eastAsia="Times New Roman" w:cs="Times New Roman"/>
          <w:color w:val="000000"/>
          <w:u w:val="none"/>
        </w:rPr>
        <w:t>/api/docs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Машинный контракт: </w:t>
      </w:r>
      <w:r>
        <w:rPr>
          <w:rFonts w:ascii="Times New Roman" w:hAnsi="Times New Roman" w:eastAsia="Times New Roman" w:cs="Times New Roman"/>
          <w:color w:val="000000"/>
          <w:u w:val="none"/>
        </w:rPr>
        <w:t>/api/openapi.json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сохранённая копия — </w:t>
      </w:r>
      <w:hyperlink r:id="rId11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contracts/openapi.yaml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Все точные поля, обязательность, значения по умолчанию, enum и пределы — </w:t>
      </w:r>
      <w:r>
        <w:rPr>
          <w:rFonts w:ascii="Times New Roman" w:hAnsi="Times New Roman" w:eastAsia="Times New Roman" w:cs="Times New Roman"/>
          <w:color w:val="000000"/>
          <w:u w:val="none"/>
        </w:rPr>
        <w:t>components.schemas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этого контракта. В справочнике ниже приведены имена схем.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• 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Готовые запросы с placeholders — </w:t>
      </w:r>
      <w:hyperlink r:id="rId12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api-examples.http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 Они выполняются по отдельности: сначала вход, затем подстановка полученных ID и revision. Автоматическое выполнение всего файла не предполагается.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Открытие с другого компьютера через согласованный SSH-туннель и Docker-команды запуска описаны в </w:t>
      </w:r>
      <w:hyperlink r:id="rId13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README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hyperlink r:id="rId14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актуальное руководство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. Заголовок </w:t>
      </w:r>
      <w:r>
        <w:rPr>
          <w:rFonts w:ascii="Times New Roman" w:hAnsi="Times New Roman" w:eastAsia="Times New Roman" w:cs="Times New Roman"/>
          <w:color w:val="000000"/>
          <w:u w:val="none"/>
        </w:rPr>
        <w:t>Host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допускает </w:t>
      </w:r>
      <w:r>
        <w:rPr>
          <w:rFonts w:ascii="Times New Roman" w:hAnsi="Times New Roman" w:eastAsia="Times New Roman" w:cs="Times New Roman"/>
          <w:color w:val="000000"/>
          <w:u w:val="none"/>
        </w:rPr>
        <w:t>127.0.0.1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localhost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внутренний </w:t>
      </w:r>
      <w:r>
        <w:rPr>
          <w:rFonts w:ascii="Times New Roman" w:hAnsi="Times New Roman" w:eastAsia="Times New Roman" w:cs="Times New Roman"/>
          <w:color w:val="000000"/>
          <w:u w:val="none"/>
        </w:rPr>
        <w:t>app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тестовый </w:t>
      </w:r>
      <w:r>
        <w:rPr>
          <w:rFonts w:ascii="Times New Roman" w:hAnsi="Times New Roman" w:eastAsia="Times New Roman" w:cs="Times New Roman"/>
          <w:color w:val="000000"/>
          <w:u w:val="none"/>
        </w:rPr>
        <w:t>testserver</w:t>
      </w:r>
      <w:r>
        <w:rPr>
          <w:rFonts w:ascii="Times New Roman" w:hAnsi="Times New Roman" w:eastAsia="Times New Roman" w:cs="Times New Roman"/>
          <w:color w:val="000000"/>
          <w:u w:val="none"/>
        </w:rPr>
        <w:t>. Прямое обращение по произвольному hostname не настроено.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2. Сессия, роли и безопасные примеры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Пользовательская авторизация — cookie </w:t>
      </w:r>
      <w:r>
        <w:rPr>
          <w:rFonts w:ascii="Times New Roman" w:hAnsi="Times New Roman" w:eastAsia="Times New Roman" w:cs="Times New Roman"/>
          <w:color w:val="000000"/>
          <w:u w:val="none"/>
        </w:rPr>
        <w:t>fsp_session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HttpOnly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SameSite=Strict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Path=/api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срок 8 часов. Вход и подтверждение возвращают </w:t>
      </w:r>
      <w:r>
        <w:rPr>
          <w:rFonts w:ascii="Times New Roman" w:hAnsi="Times New Roman" w:eastAsia="Times New Roman" w:cs="Times New Roman"/>
          <w:color w:val="000000"/>
          <w:u w:val="none"/>
        </w:rPr>
        <w:t>SessionView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u w:val="none"/>
        </w:rPr>
        <w:t>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role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label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csrf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demo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</w:t>
      </w:r>
      <w:r>
        <w:rPr>
          <w:rFonts w:ascii="Times New Roman" w:hAnsi="Times New Roman" w:eastAsia="Times New Roman" w:cs="Times New Roman"/>
          <w:color w:val="000000"/>
          <w:u w:val="none"/>
        </w:rPr>
        <w:t>/api/v1/me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дополнительно возвращает </w:t>
      </w:r>
      <w:r>
        <w:rPr>
          <w:rFonts w:ascii="Times New Roman" w:hAnsi="Times New Roman" w:eastAsia="Times New Roman" w:cs="Times New Roman"/>
          <w:color w:val="000000"/>
          <w:u w:val="none"/>
        </w:rPr>
        <w:t>email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Cookie передаётся клиентом, токен </w:t>
      </w:r>
      <w:r>
        <w:rPr>
          <w:rFonts w:ascii="Times New Roman" w:hAnsi="Times New Roman" w:eastAsia="Times New Roman" w:cs="Times New Roman"/>
          <w:color w:val="000000"/>
          <w:u w:val="none"/>
        </w:rPr>
        <w:t>csrf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заголовком </w:t>
      </w:r>
      <w:r>
        <w:rPr>
          <w:rFonts w:ascii="Times New Roman" w:hAnsi="Times New Roman" w:eastAsia="Times New Roman" w:cs="Times New Roman"/>
          <w:color w:val="000000"/>
          <w:u w:val="none"/>
        </w:rPr>
        <w:t>X-CSRF-Token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для пользовательских POST/PUT/PATCH/DELETE, включая logout. GET не требует CSRF. Получить текущий CSRF можно через </w:t>
      </w:r>
      <w:r>
        <w:rPr>
          <w:rFonts w:ascii="Times New Roman" w:hAnsi="Times New Roman" w:eastAsia="Times New Roman" w:cs="Times New Roman"/>
          <w:color w:val="000000"/>
          <w:u w:val="none"/>
        </w:rPr>
        <w:t>/api/v1/me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Кандидат и работодатель используют отдельные сессии. Роль проверяется сервером; ID в теле/URL не позволяет читать чужую попытку, банк, подборку или приглашение. Чужая и отсутствующая запись обычно дают одинаковый 404. Общие </w:t>
      </w:r>
      <w:r>
        <w:rPr>
          <w:rFonts w:ascii="Times New Roman" w:hAnsi="Times New Roman" w:eastAsia="Times New Roman" w:cs="Times New Roman"/>
          <w:color w:val="000000"/>
          <w:u w:val="none"/>
        </w:rPr>
        <w:t>/me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logout доступны обеим ролям. Публичные auth-операции не требуют уже созданной сессии. Внутренний runner имеет отдельную Bearer-авторизацию, описанную ниже.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Изменяющий запрос с </w:t>
      </w:r>
      <w:r>
        <w:rPr>
          <w:rFonts w:ascii="Times New Roman" w:hAnsi="Times New Roman" w:eastAsia="Times New Roman" w:cs="Times New Roman"/>
          <w:color w:val="000000"/>
          <w:u w:val="none"/>
        </w:rPr>
        <w:t>Origin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принимается только от локальных origins </w:t>
      </w:r>
      <w:r>
        <w:rPr>
          <w:rFonts w:ascii="Times New Roman" w:hAnsi="Times New Roman" w:eastAsia="Times New Roman" w:cs="Times New Roman"/>
          <w:color w:val="000000"/>
          <w:u w:val="none"/>
        </w:rPr>
        <w:t>http://127.0.0.1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или </w:t>
      </w:r>
      <w:r>
        <w:rPr>
          <w:rFonts w:ascii="Times New Roman" w:hAnsi="Times New Roman" w:eastAsia="Times New Roman" w:cs="Times New Roman"/>
          <w:color w:val="000000"/>
          <w:u w:val="none"/>
        </w:rPr>
        <w:t>http://localhost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на портах 8470, 18080, 5173. Запрос curl без Origin допустим. CORS для произвольного внешнего сайта нет. Все POST </w:t>
      </w:r>
      <w:r>
        <w:rPr>
          <w:rFonts w:ascii="Times New Roman" w:hAnsi="Times New Roman" w:eastAsia="Times New Roman" w:cs="Times New Roman"/>
          <w:color w:val="000000"/>
          <w:u w:val="none"/>
        </w:rPr>
        <w:t>/api/v1/auth/*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ограничены 30 запросами за 60 секунд с одного IP в текущем процессе; превышение — 429 и </w:t>
      </w:r>
      <w:r>
        <w:rPr>
          <w:rFonts w:ascii="Times New Roman" w:hAnsi="Times New Roman" w:eastAsia="Times New Roman" w:cs="Times New Roman"/>
          <w:color w:val="000000"/>
          <w:u w:val="none"/>
        </w:rPr>
        <w:t>Retry-After: 60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Для первого просмотра достаточно публичного GET и входа в существующий seed: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curl --fail-with-body http://127.0.0.1:8470/api/health</w:t>
        <w:br/>
        <w:t>curl --fail-with-body http://127.0.0.1:8470/api/v1/auth/demo-accounts</w:t>
        <w:br/>
        <w:t># Cookie-файл хранится локально вне проекта. Не коммитьте его или ответ входа.</w:t>
        <w:br/>
        <w:t>umask 077</w:t>
        <w:br/>
        <w:t>curl --fail-with-body -c /tmp/fsp-candidate.cookies -o /tmp/fsp-candidate-login.json \</w:t>
        <w:br/>
        <w:t xml:space="preserve">  -H 'Content-Type: application/json' \</w:t>
        <w:br/>
        <w:t xml:space="preserve">  --data '{"user_id":"demo-candidate-a"}' \</w:t>
        <w:br/>
        <w:t xml:space="preserve">  http://127.0.0.1:8470/api/v1/auth/demo-login</w:t>
        <w:br/>
        <w:t>curl --fail-with-body -b /tmp/fsp-candidate.cookies \</w:t>
        <w:br/>
        <w:t xml:space="preserve">  http://127.0.0.1:8470/api/v1/candidate/profile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Ответ входа с CSRF сохраняется в локальный JSON с закрытыми правами, а не выводится в терминал. Cookie и этот JSON не коммитятся; удалите их после проверки.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Следующий запрос использует CSRF из собственного ответа входа через локальную переменную </w:t>
      </w:r>
      <w:r>
        <w:rPr>
          <w:rFonts w:ascii="Times New Roman" w:hAnsi="Times New Roman" w:eastAsia="Times New Roman" w:cs="Times New Roman"/>
          <w:color w:val="000000"/>
          <w:u w:val="none"/>
        </w:rPr>
        <w:t>FSP_CANDIDATE_CSRF</w:t>
      </w:r>
      <w:r>
        <w:rPr>
          <w:rFonts w:ascii="Times New Roman" w:hAnsi="Times New Roman" w:eastAsia="Times New Roman" w:cs="Times New Roman"/>
          <w:color w:val="000000"/>
          <w:u w:val="none"/>
        </w:rPr>
        <w:t>; его значение не записывается в документацию: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curl --fail-with-body -b /tmp/fsp-candidate.cookies \</w:t>
        <w:br/>
        <w:t xml:space="preserve">  -H "X-CSRF-Token: ${FSP_CANDIDATE_CSRF}" \</w:t>
        <w:br/>
        <w:t xml:space="preserve">  -X DELETE http://127.0.0.1:8470/api/v1/candidate/fsp-link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3. Регистрация и профиль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POST /api/v1/auth/register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принимает </w:t>
      </w:r>
      <w:r>
        <w:rPr>
          <w:rFonts w:ascii="Times New Roman" w:hAnsi="Times New Roman" w:eastAsia="Times New Roman" w:cs="Times New Roman"/>
          <w:color w:val="000000"/>
          <w:u w:val="none"/>
        </w:rPr>
        <w:t>email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role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label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consent:true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необязательный </w:t>
      </w:r>
      <w:r>
        <w:rPr>
          <w:rFonts w:ascii="Times New Roman" w:hAnsi="Times New Roman" w:eastAsia="Times New Roman" w:cs="Times New Roman"/>
          <w:color w:val="000000"/>
          <w:u w:val="none"/>
        </w:rPr>
        <w:t>password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длиной 12–128 символов. Разрешены только синтетические адреса </w:t>
      </w:r>
      <w:r>
        <w:rPr>
          <w:rFonts w:ascii="Times New Roman" w:hAnsi="Times New Roman" w:eastAsia="Times New Roman" w:cs="Times New Roman"/>
          <w:color w:val="000000"/>
          <w:u w:val="none"/>
        </w:rPr>
        <w:t>name@example.invalid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При успехе 201 возвращает </w:t>
      </w:r>
      <w:r>
        <w:rPr>
          <w:rFonts w:ascii="Times New Roman" w:hAnsi="Times New Roman" w:eastAsia="Times New Roman" w:cs="Times New Roman"/>
          <w:color w:val="000000"/>
          <w:u w:val="none"/>
        </w:rPr>
        <w:t>DeliveryView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u w:val="none"/>
        </w:rPr>
        <w:t>message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transport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u w:val="none"/>
        </w:rPr>
        <w:t>local-mailbox</w:t>
      </w:r>
      <w:r>
        <w:rPr>
          <w:rFonts w:ascii="Times New Roman" w:hAnsi="Times New Roman" w:eastAsia="Times New Roman" w:cs="Times New Roman"/>
          <w:color w:val="000000"/>
          <w:u w:val="none"/>
        </w:rPr>
        <w:t>/</w:t>
      </w:r>
      <w:r>
        <w:rPr>
          <w:rFonts w:ascii="Times New Roman" w:hAnsi="Times New Roman" w:eastAsia="Times New Roman" w:cs="Times New Roman"/>
          <w:color w:val="000000"/>
          <w:u w:val="none"/>
        </w:rPr>
        <w:t>smtp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), </w:t>
      </w:r>
      <w:r>
        <w:rPr>
          <w:rFonts w:ascii="Times New Roman" w:hAnsi="Times New Roman" w:eastAsia="Times New Roman" w:cs="Times New Roman"/>
          <w:color w:val="000000"/>
          <w:u w:val="none"/>
        </w:rPr>
        <w:t>delivery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u w:val="none"/>
        </w:rPr>
        <w:t>ready</w:t>
      </w:r>
      <w:r>
        <w:rPr>
          <w:rFonts w:ascii="Times New Roman" w:hAnsi="Times New Roman" w:eastAsia="Times New Roman" w:cs="Times New Roman"/>
          <w:color w:val="000000"/>
          <w:u w:val="none"/>
        </w:rPr>
        <w:t>/</w:t>
      </w:r>
      <w:r>
        <w:rPr>
          <w:rFonts w:ascii="Times New Roman" w:hAnsi="Times New Roman" w:eastAsia="Times New Roman" w:cs="Times New Roman"/>
          <w:color w:val="000000"/>
          <w:u w:val="none"/>
        </w:rPr>
        <w:t>failed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), </w:t>
      </w:r>
      <w:r>
        <w:rPr>
          <w:rFonts w:ascii="Times New Roman" w:hAnsi="Times New Roman" w:eastAsia="Times New Roman" w:cs="Times New Roman"/>
          <w:color w:val="000000"/>
          <w:u w:val="none"/>
        </w:rPr>
        <w:t>demo:true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Сбой SMTP не отменяет регистрацию: ссылка уже подготовлена, доставку можно повторить через </w:t>
      </w:r>
      <w:r>
        <w:rPr>
          <w:rFonts w:ascii="Times New Roman" w:hAnsi="Times New Roman" w:eastAsia="Times New Roman" w:cs="Times New Roman"/>
          <w:color w:val="000000"/>
          <w:u w:val="none"/>
        </w:rPr>
        <w:t>/auth/login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GET /auth/mock-mail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открыт и содержит одноразовые токены исключительно локальной демонстрационной почты. Срок ссылки — 30 минут. </w:t>
      </w:r>
      <w:r>
        <w:rPr>
          <w:rFonts w:ascii="Times New Roman" w:hAnsi="Times New Roman" w:eastAsia="Times New Roman" w:cs="Times New Roman"/>
          <w:color w:val="000000"/>
          <w:u w:val="none"/>
        </w:rPr>
        <w:t>/auth/verify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принимает </w:t>
      </w:r>
      <w:r>
        <w:rPr>
          <w:rFonts w:ascii="Times New Roman" w:hAnsi="Times New Roman" w:eastAsia="Times New Roman" w:cs="Times New Roman"/>
          <w:color w:val="000000"/>
          <w:u w:val="none"/>
        </w:rPr>
        <w:t>{ "token": "&lt;полученный локально токен&gt;" }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подтверждает адрес и создаёт сессию; повторное/просроченное подтверждение — 409. </w:t>
      </w:r>
      <w:r>
        <w:rPr>
          <w:rFonts w:ascii="Times New Roman" w:hAnsi="Times New Roman" w:eastAsia="Times New Roman" w:cs="Times New Roman"/>
          <w:color w:val="000000"/>
          <w:u w:val="none"/>
        </w:rPr>
        <w:t>/auth/password-login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принимает </w:t>
      </w:r>
      <w:r>
        <w:rPr>
          <w:rFonts w:ascii="Times New Roman" w:hAnsi="Times New Roman" w:eastAsia="Times New Roman" w:cs="Times New Roman"/>
          <w:color w:val="000000"/>
          <w:u w:val="none"/>
        </w:rPr>
        <w:t>email/password</w:t>
      </w:r>
      <w:r>
        <w:rPr>
          <w:rFonts w:ascii="Times New Roman" w:hAnsi="Times New Roman" w:eastAsia="Times New Roman" w:cs="Times New Roman"/>
          <w:color w:val="000000"/>
          <w:u w:val="none"/>
        </w:rPr>
        <w:t>, требует подтверждённого адреса; неправильные данные — 401, неподтверждённый адрес — 403. Внешнее владение реальным email эта открытая demo-почта не доказывает.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PUT /candidate/profile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полная замена редактируемых полей </w:t>
      </w:r>
      <w:r>
        <w:rPr>
          <w:rFonts w:ascii="Times New Roman" w:hAnsi="Times New Roman" w:eastAsia="Times New Roman" w:cs="Times New Roman"/>
          <w:color w:val="000000"/>
          <w:u w:val="none"/>
        </w:rPr>
        <w:t>ProfileInput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не PATCH. Клиент задаёт </w:t>
      </w:r>
      <w:r>
        <w:rPr>
          <w:rFonts w:ascii="Times New Roman" w:hAnsi="Times New Roman" w:eastAsia="Times New Roman" w:cs="Times New Roman"/>
          <w:color w:val="000000"/>
          <w:u w:val="none"/>
        </w:rPr>
        <w:t>claimed_grade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а не </w:t>
      </w:r>
      <w:r>
        <w:rPr>
          <w:rFonts w:ascii="Times New Roman" w:hAnsi="Times New Roman" w:eastAsia="Times New Roman" w:cs="Times New Roman"/>
          <w:color w:val="000000"/>
          <w:u w:val="none"/>
        </w:rPr>
        <w:t>confirmed_grade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skills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или </w:t>
      </w:r>
      <w:r>
        <w:rPr>
          <w:rFonts w:ascii="Times New Roman" w:hAnsi="Times New Roman" w:eastAsia="Times New Roman" w:cs="Times New Roman"/>
          <w:color w:val="000000"/>
          <w:u w:val="none"/>
        </w:rPr>
        <w:t>test_score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u w:val="none"/>
        </w:rPr>
        <w:t>industry=it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специализации </w:t>
      </w:r>
      <w:r>
        <w:rPr>
          <w:rFonts w:ascii="Times New Roman" w:hAnsi="Times New Roman" w:eastAsia="Times New Roman" w:cs="Times New Roman"/>
          <w:color w:val="000000"/>
          <w:u w:val="none"/>
        </w:rPr>
        <w:t>backend/frontend/qa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грейды </w:t>
      </w:r>
      <w:r>
        <w:rPr>
          <w:rFonts w:ascii="Times New Roman" w:hAnsi="Times New Roman" w:eastAsia="Times New Roman" w:cs="Times New Roman"/>
          <w:color w:val="000000"/>
          <w:u w:val="none"/>
        </w:rPr>
        <w:t>junior/middle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формат </w:t>
      </w:r>
      <w:r>
        <w:rPr>
          <w:rFonts w:ascii="Times New Roman" w:hAnsi="Times New Roman" w:eastAsia="Times New Roman" w:cs="Times New Roman"/>
          <w:color w:val="000000"/>
          <w:u w:val="none"/>
        </w:rPr>
        <w:t>remote/hybrid/office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Строгие целые зарплаты указаны в RUB. Резюме содержит </w:t>
      </w:r>
      <w:r>
        <w:rPr>
          <w:rFonts w:ascii="Times New Roman" w:hAnsi="Times New Roman" w:eastAsia="Times New Roman" w:cs="Times New Roman"/>
          <w:color w:val="000000"/>
          <w:u w:val="none"/>
        </w:rPr>
        <w:t>full_name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years_experience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roles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soft_skills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education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about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declared_skills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заполнение не подтверждает компетентность. </w:t>
      </w:r>
      <w:r>
        <w:rPr>
          <w:rFonts w:ascii="Times New Roman" w:hAnsi="Times New Roman" w:eastAsia="Times New Roman" w:cs="Times New Roman"/>
          <w:color w:val="000000"/>
          <w:u w:val="none"/>
        </w:rPr>
        <w:t>resume.declared_skills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до 20 ID технологий из </w:t>
      </w:r>
      <w:r>
        <w:rPr>
          <w:rFonts w:ascii="Times New Roman" w:hAnsi="Times New Roman" w:eastAsia="Times New Roman" w:cs="Times New Roman"/>
          <w:color w:val="000000"/>
          <w:u w:val="none"/>
        </w:rPr>
        <w:t>declared_skills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ответа </w:t>
      </w:r>
      <w:r>
        <w:rPr>
          <w:rFonts w:ascii="Times New Roman" w:hAnsi="Times New Roman" w:eastAsia="Times New Roman" w:cs="Times New Roman"/>
          <w:color w:val="000000"/>
          <w:u w:val="none"/>
        </w:rPr>
        <w:t>/catalog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по умолчанию </w:t>
      </w:r>
      <w:r>
        <w:rPr>
          <w:rFonts w:ascii="Times New Roman" w:hAnsi="Times New Roman" w:eastAsia="Times New Roman" w:cs="Times New Roman"/>
          <w:color w:val="000000"/>
          <w:u w:val="none"/>
        </w:rPr>
        <w:t>[]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Повторы удаляются с сохранением порядка, неизвестный ID даёт 422. При полном PUT передавайте текущий список, чтобы сохранить заявления. React/Vue/Go/Java можно заявить, но оценочная категория остаётся одной из трёх доступных специализаций; заявление не обновляет </w:t>
      </w:r>
      <w:r>
        <w:rPr>
          <w:rFonts w:ascii="Times New Roman" w:hAnsi="Times New Roman" w:eastAsia="Times New Roman" w:cs="Times New Roman"/>
          <w:color w:val="000000"/>
          <w:u w:val="none"/>
        </w:rPr>
        <w:t>skills</w:t>
      </w:r>
      <w:r>
        <w:rPr>
          <w:rFonts w:ascii="Times New Roman" w:hAnsi="Times New Roman" w:eastAsia="Times New Roman" w:cs="Times New Roman"/>
          <w:color w:val="000000"/>
          <w:u w:val="none"/>
        </w:rPr>
        <w:t>, балл или публикацию. Смена специализации снимает публикацию и переключает подтверждённый результат на историю выбранного направления, не переносит квалификацию из другого.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POST /candidate/resume-preview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принимает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сам PDF в теле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Content-Type: application/pdf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до 2 MiB. Это не multipart/form-data. Ответ </w:t>
      </w:r>
      <w:r>
        <w:rPr>
          <w:rFonts w:ascii="Times New Roman" w:hAnsi="Times New Roman" w:eastAsia="Times New Roman" w:cs="Times New Roman"/>
          <w:color w:val="000000"/>
          <w:u w:val="none"/>
        </w:rPr>
        <w:t>ResumePreviewView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предлагает </w:t>
      </w:r>
      <w:r>
        <w:rPr>
          <w:rFonts w:ascii="Times New Roman" w:hAnsi="Times New Roman" w:eastAsia="Times New Roman" w:cs="Times New Roman"/>
          <w:color w:val="000000"/>
          <w:u w:val="none"/>
        </w:rPr>
        <w:t>resume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contact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specialization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claimed_grade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claimed_skills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warnings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demo</w:t>
      </w:r>
      <w:r>
        <w:rPr>
          <w:rFonts w:ascii="Times New Roman" w:hAnsi="Times New Roman" w:eastAsia="Times New Roman" w:cs="Times New Roman"/>
          <w:color w:val="000000"/>
          <w:u w:val="none"/>
        </w:rPr>
        <w:t>. Предпросмотр ничего не сохраняет: пользователь подтверждает поля отдельным PUT профиля. Парсинг эвристический, для текстового PDF, без OCR; ошибки/timeout — 422, слишком большой файл — 413, неправильный Content-Type — 415.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4. Каталог и основания навыков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GET /catalog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возвращает </w:t>
      </w:r>
      <w:r>
        <w:rPr>
          <w:rFonts w:ascii="Times New Roman" w:hAnsi="Times New Roman" w:eastAsia="Times New Roman" w:cs="Times New Roman"/>
          <w:color w:val="000000"/>
          <w:u w:val="none"/>
        </w:rPr>
        <w:t>CatalogView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u w:val="none"/>
        </w:rPr>
        <w:t>industry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specializations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grades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assessment_version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declared_skills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work_tasks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work_tasks_version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demo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Сейчас </w:t>
      </w:r>
      <w:r>
        <w:rPr>
          <w:rFonts w:ascii="Times New Roman" w:hAnsi="Times New Roman" w:eastAsia="Times New Roman" w:cs="Times New Roman"/>
          <w:color w:val="000000"/>
          <w:u w:val="none"/>
        </w:rPr>
        <w:t>assessment_version=scenarios-v6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work_tasks_version=team-work-v1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Элемент </w:t>
      </w:r>
      <w:r>
        <w:rPr>
          <w:rFonts w:ascii="Times New Roman" w:hAnsi="Times New Roman" w:eastAsia="Times New Roman" w:cs="Times New Roman"/>
          <w:color w:val="000000"/>
          <w:u w:val="none"/>
        </w:rPr>
        <w:t>declared_skills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содержит </w:t>
      </w:r>
      <w:r>
        <w:rPr>
          <w:rFonts w:ascii="Times New Roman" w:hAnsi="Times New Roman" w:eastAsia="Times New Roman" w:cs="Times New Roman"/>
          <w:color w:val="000000"/>
          <w:u w:val="none"/>
        </w:rPr>
        <w:t>id/label/specializations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элемент </w:t>
      </w:r>
      <w:r>
        <w:rPr>
          <w:rFonts w:ascii="Times New Roman" w:hAnsi="Times New Roman" w:eastAsia="Times New Roman" w:cs="Times New Roman"/>
          <w:color w:val="000000"/>
          <w:u w:val="none"/>
        </w:rPr>
        <w:t>work_tasks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</w:t>
      </w:r>
      <w:r>
        <w:rPr>
          <w:rFonts w:ascii="Times New Roman" w:hAnsi="Times New Roman" w:eastAsia="Times New Roman" w:cs="Times New Roman"/>
          <w:color w:val="000000"/>
          <w:u w:val="none"/>
        </w:rPr>
        <w:t>id/label/description/skills/specialization</w:t>
      </w:r>
      <w:r>
        <w:rPr>
          <w:rFonts w:ascii="Times New Roman" w:hAnsi="Times New Roman" w:eastAsia="Times New Roman" w:cs="Times New Roman"/>
          <w:color w:val="000000"/>
          <w:u w:val="none"/>
        </w:rPr>
        <w:t>. Каталог технологий для заявлений шире матрицы первичной оценки.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skill_evidence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</w:t>
      </w:r>
      <w:r>
        <w:rPr>
          <w:rFonts w:ascii="Times New Roman" w:hAnsi="Times New Roman" w:eastAsia="Times New Roman" w:cs="Times New Roman"/>
          <w:color w:val="000000"/>
          <w:u w:val="none"/>
        </w:rPr>
        <w:t>SkillEvidenceView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 собственном профиле и разрешённых работодателю проекциях кандидата (поиск, shortlist, detail). Источники разделены: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1.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1 — Каталог и основания навыков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 w:val="true"/>
        </w:trPr>
        <w:tc>
          <w:tcPr>
            <w:tcW w:type="dxa" w:w="17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Поле</w:t>
            </w:r>
          </w:p>
        </w:tc>
        <w:tc>
          <w:tcPr>
            <w:tcW w:type="dxa" w:w="761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Состав и смысл</w:t>
            </w:r>
          </w:p>
        </w:tc>
      </w:tr>
      <w:tr>
        <w:trPr>
          <w:cantSplit/>
        </w:trPr>
        <w:tc>
          <w:tcPr>
            <w:tcW w:type="dxa" w:w="17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declared</w:t>
            </w:r>
          </w:p>
        </w:tc>
        <w:tc>
          <w:tcPr>
            <w:tcW w:type="dxa" w:w="761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ID заявленных технологий; без подтверждения навыка</w:t>
            </w:r>
          </w:p>
        </w:tc>
      </w:tr>
      <w:tr>
        <w:trPr>
          <w:cantSplit/>
        </w:trPr>
        <w:tc>
          <w:tcPr>
            <w:tcW w:type="dxa" w:w="17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assessment</w:t>
            </w:r>
          </w:p>
        </w:tc>
        <w:tc>
          <w:tcPr>
            <w:tcW w:type="dxa" w:w="761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skill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, nullable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score/correct/total/version/assessed_at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source=assessment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либо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legacy-assessment</w:t>
            </w:r>
          </w:p>
        </w:tc>
      </w:tr>
      <w:tr>
        <w:trPr>
          <w:cantSplit/>
        </w:trPr>
        <w:tc>
          <w:tcPr>
            <w:tcW w:type="dxa" w:w="17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practice</w:t>
            </w:r>
          </w:p>
        </w:tc>
        <w:tc>
          <w:tcPr>
            <w:tcW w:type="dxa" w:w="761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skill/score/tasks/total_tasks/completed_at/source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; source —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platform-practice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либо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employer-practice</w:t>
            </w:r>
          </w:p>
        </w:tc>
      </w:tr>
      <w:tr>
        <w:trPr>
          <w:cantSplit/>
        </w:trPr>
        <w:tc>
          <w:tcPr>
            <w:tcW w:type="dxa" w:w="17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limitations</w:t>
            </w:r>
          </w:p>
        </w:tc>
        <w:tc>
          <w:tcPr>
            <w:tcW w:type="dxa" w:w="761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Явные ограничения оснований</w:t>
            </w:r>
          </w:p>
        </w:tc>
      </w:tr>
    </w:tbl>
    <w:p>
      <w:pPr>
        <w:spacing w:after="0"/>
        <w:ind w:firstLine="0"/>
      </w:pP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Основание оценки относится к текущему прошедшему результату категории, а не к последней неуспешной попытке. Без однозначного сохранённого результата используется </w:t>
      </w:r>
      <w:r>
        <w:rPr>
          <w:rFonts w:ascii="Times New Roman" w:hAnsi="Times New Roman" w:eastAsia="Times New Roman" w:cs="Times New Roman"/>
          <w:color w:val="000000"/>
          <w:u w:val="none"/>
        </w:rPr>
        <w:t>legacy-assessment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баллы, количество и версия равны </w:t>
      </w:r>
      <w:r>
        <w:rPr>
          <w:rFonts w:ascii="Times New Roman" w:hAnsi="Times New Roman" w:eastAsia="Times New Roman" w:cs="Times New Roman"/>
          <w:color w:val="000000"/>
          <w:u w:val="none"/>
        </w:rPr>
        <w:t>null</w:t>
      </w:r>
      <w:r>
        <w:rPr>
          <w:rFonts w:ascii="Times New Roman" w:hAnsi="Times New Roman" w:eastAsia="Times New Roman" w:cs="Times New Roman"/>
          <w:color w:val="000000"/>
          <w:u w:val="none"/>
        </w:rPr>
        <w:t>. Сохранённая дата профиля может оставаться доступной.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Практика включает полностью завершённые и оценённые задания с заданным навыком. </w:t>
      </w:r>
      <w:r>
        <w:rPr>
          <w:rFonts w:ascii="Times New Roman" w:hAnsi="Times New Roman" w:eastAsia="Times New Roman" w:cs="Times New Roman"/>
          <w:color w:val="000000"/>
          <w:u w:val="none"/>
        </w:rPr>
        <w:t>tasks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считает задания с результатом ≥50%, </w:t>
      </w:r>
      <w:r>
        <w:rPr>
          <w:rFonts w:ascii="Times New Roman" w:hAnsi="Times New Roman" w:eastAsia="Times New Roman" w:cs="Times New Roman"/>
          <w:color w:val="000000"/>
          <w:u w:val="none"/>
        </w:rPr>
        <w:t>total_tasks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все оценённые задания; </w:t>
      </w:r>
      <w:r>
        <w:rPr>
          <w:rFonts w:ascii="Times New Roman" w:hAnsi="Times New Roman" w:eastAsia="Times New Roman" w:cs="Times New Roman"/>
          <w:color w:val="000000"/>
          <w:u w:val="none"/>
        </w:rPr>
        <w:t>score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взвешен по весам заданий навыка. Платформенные и работодательские результаты агрегируются отдельно. Pending review/code, черновик или общая ручная оценка короткого ответа без навыков заданий не становятся доказательством конкретного навыка. Агрегат не выдаёт ответы, код, ключи, названия банков или контакты. Практика и заявления не повышают глобальный грейд и не участвуют в обязательном фильтре поиска.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5. Обязательная оценка, категория и публикация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Это первичная оценка ТЗ, отличная от практических банков работодателя. </w:t>
      </w:r>
      <w:r>
        <w:rPr>
          <w:rFonts w:ascii="Times New Roman" w:hAnsi="Times New Roman" w:eastAsia="Times New Roman" w:cs="Times New Roman"/>
          <w:color w:val="000000"/>
          <w:u w:val="none"/>
        </w:rPr>
        <w:t>/catalog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даёт актуальный набор навыков для каждой специализации. Новая форма содержит 12 вопросов из 12 семейств, четыре на каждый из трёх навыков. Сценарии включают чтение кода, реальные SQLite-таблицы, HTTP-повторы и права, HTML-доступность и QA-граничные случаи. Код кандидата этот API не исполняет.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1. </w:t>
      </w:r>
      <w:r>
        <w:rPr>
          <w:rFonts w:ascii="Times New Roman" w:hAnsi="Times New Roman" w:eastAsia="Times New Roman" w:cs="Times New Roman"/>
          <w:color w:val="000000"/>
          <w:u w:val="none"/>
        </w:rPr>
        <w:t>В профиле выбрать специализацию и заявленный грейд.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2. </w:t>
      </w:r>
      <w:r>
        <w:rPr>
          <w:rFonts w:ascii="Times New Roman" w:hAnsi="Times New Roman" w:eastAsia="Times New Roman" w:cs="Times New Roman"/>
          <w:color w:val="000000"/>
          <w:u w:val="none"/>
        </w:rPr>
        <w:t>POST /assessments/attempts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u w:val="none"/>
        </w:rPr>
        <w:t>specialization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grade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опционально </w:t>
      </w:r>
      <w:r>
        <w:rPr>
          <w:rFonts w:ascii="Times New Roman" w:hAnsi="Times New Roman" w:eastAsia="Times New Roman" w:cs="Times New Roman"/>
          <w:color w:val="000000"/>
          <w:u w:val="none"/>
        </w:rPr>
        <w:t>vacancy_id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подходящей опубликованной вакансии. Ответ 201 </w:t>
      </w:r>
      <w:r>
        <w:rPr>
          <w:rFonts w:ascii="Times New Roman" w:hAnsi="Times New Roman" w:eastAsia="Times New Roman" w:cs="Times New Roman"/>
          <w:color w:val="000000"/>
          <w:u w:val="none"/>
        </w:rPr>
        <w:t>AttemptView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u w:val="none"/>
        </w:rPr>
        <w:t>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questions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grade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specialization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context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version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result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answers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revision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expires_at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demo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Публичные вопросы исключают решения. Новые формы используют </w:t>
      </w:r>
      <w:r>
        <w:rPr>
          <w:rFonts w:ascii="Times New Roman" w:hAnsi="Times New Roman" w:eastAsia="Times New Roman" w:cs="Times New Roman"/>
          <w:color w:val="000000"/>
          <w:u w:val="none"/>
        </w:rPr>
        <w:t>scenarios-v6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Публичная проекция вопроса: </w:t>
      </w:r>
      <w:r>
        <w:rPr>
          <w:rFonts w:ascii="Times New Roman" w:hAnsi="Times New Roman" w:eastAsia="Times New Roman" w:cs="Times New Roman"/>
          <w:color w:val="000000"/>
          <w:u w:val="none"/>
        </w:rPr>
        <w:t>id/skill/title/options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</w:t>
      </w:r>
      <w:r>
        <w:rPr>
          <w:rFonts w:ascii="Times New Roman" w:hAnsi="Times New Roman" w:eastAsia="Times New Roman" w:cs="Times New Roman"/>
          <w:color w:val="000000"/>
          <w:u w:val="none"/>
        </w:rPr>
        <w:t>family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parameters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 возвращаются. ID новых вопросов — непрозрачные 24 hex-символа из сохранённого снимка; исторические ID сохранены для совместимости. Seed, </w:t>
      </w:r>
      <w:r>
        <w:rPr>
          <w:rFonts w:ascii="Times New Roman" w:hAnsi="Times New Roman" w:eastAsia="Times New Roman" w:cs="Times New Roman"/>
          <w:color w:val="000000"/>
          <w:u w:val="none"/>
        </w:rPr>
        <w:t>answer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explanation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explanation_answer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topic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 выдаются в вопросах. Старые формы v1/v2/v3/v4/v5 сохраняют свою версию и решения на сервере, новая версия их не пересчитывает. У </w:t>
      </w:r>
      <w:r>
        <w:rPr>
          <w:rFonts w:ascii="Times New Roman" w:hAnsi="Times New Roman" w:eastAsia="Times New Roman" w:cs="Times New Roman"/>
          <w:color w:val="000000"/>
          <w:u w:val="none"/>
        </w:rPr>
        <w:t>AttemptView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добавлен nullable </w:t>
      </w:r>
      <w:r>
        <w:rPr>
          <w:rFonts w:ascii="Times New Roman" w:hAnsi="Times New Roman" w:eastAsia="Times New Roman" w:cs="Times New Roman"/>
          <w:color w:val="000000"/>
          <w:u w:val="none"/>
        </w:rPr>
        <w:t>feedback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до завершения попытки всегда </w:t>
      </w:r>
      <w:r>
        <w:rPr>
          <w:rFonts w:ascii="Times New Roman" w:hAnsi="Times New Roman" w:eastAsia="Times New Roman" w:cs="Times New Roman"/>
          <w:color w:val="000000"/>
          <w:u w:val="none"/>
        </w:rPr>
        <w:t>null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в том числе у истёкшего черновика. После успешной отправки владелец может запросить свою попытку через </w:t>
      </w:r>
      <w:r>
        <w:rPr>
          <w:rFonts w:ascii="Times New Roman" w:hAnsi="Times New Roman" w:eastAsia="Times New Roman" w:cs="Times New Roman"/>
          <w:color w:val="000000"/>
          <w:u w:val="none"/>
        </w:rPr>
        <w:t>GET /assessments/attempts/{id}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получить разбор сохранённой формы: </w:t>
      </w:r>
      <w:r>
        <w:rPr>
          <w:rFonts w:ascii="Times New Roman" w:hAnsi="Times New Roman" w:eastAsia="Times New Roman" w:cs="Times New Roman"/>
          <w:color w:val="000000"/>
          <w:u w:val="none"/>
        </w:rPr>
        <w:t>threshold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correct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total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needed_correct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skills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questions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u w:val="none"/>
        </w:rPr>
        <w:t>needed_correct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общее минимальное число верных ответов для порога (9/12 Junior, 10/12 Middle), а не число недостающих. </w:t>
      </w:r>
      <w:r>
        <w:rPr>
          <w:rFonts w:ascii="Times New Roman" w:hAnsi="Times New Roman" w:eastAsia="Times New Roman" w:cs="Times New Roman"/>
          <w:color w:val="000000"/>
          <w:u w:val="none"/>
        </w:rPr>
        <w:t>skills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содержит </w:t>
      </w:r>
      <w:r>
        <w:rPr>
          <w:rFonts w:ascii="Times New Roman" w:hAnsi="Times New Roman" w:eastAsia="Times New Roman" w:cs="Times New Roman"/>
          <w:color w:val="000000"/>
          <w:u w:val="none"/>
        </w:rPr>
        <w:t>correct/total/score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учебные темы и рекомендацию; </w:t>
      </w:r>
      <w:r>
        <w:rPr>
          <w:rFonts w:ascii="Times New Roman" w:hAnsi="Times New Roman" w:eastAsia="Times New Roman" w:cs="Times New Roman"/>
          <w:color w:val="000000"/>
          <w:u w:val="none"/>
        </w:rPr>
        <w:t>status=strong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начинается с 75% в этом навыке и не является новым грейдом. Каждый элемент </w:t>
      </w:r>
      <w:r>
        <w:rPr>
          <w:rFonts w:ascii="Times New Roman" w:hAnsi="Times New Roman" w:eastAsia="Times New Roman" w:cs="Times New Roman"/>
          <w:color w:val="000000"/>
          <w:u w:val="none"/>
        </w:rPr>
        <w:t>questions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содержит выбранный ответ, эталон и объяснение, со статусом </w:t>
      </w:r>
      <w:r>
        <w:rPr>
          <w:rFonts w:ascii="Times New Roman" w:hAnsi="Times New Roman" w:eastAsia="Times New Roman" w:cs="Times New Roman"/>
          <w:color w:val="000000"/>
          <w:u w:val="none"/>
        </w:rPr>
        <w:t>correct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incorrect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или </w:t>
      </w:r>
      <w:r>
        <w:rPr>
          <w:rFonts w:ascii="Times New Roman" w:hAnsi="Times New Roman" w:eastAsia="Times New Roman" w:cs="Times New Roman"/>
          <w:color w:val="000000"/>
          <w:u w:val="none"/>
        </w:rPr>
        <w:t>unanswered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Для старых/неизвестных семейств подробное объяснение может быть недоступно — эталон снимка сохраняется. Работодатель получает 403, другой кандидат 404, анонимный запрос 401. Разбор не перезаписывает </w:t>
      </w:r>
      <w:r>
        <w:rPr>
          <w:rFonts w:ascii="Times New Roman" w:hAnsi="Times New Roman" w:eastAsia="Times New Roman" w:cs="Times New Roman"/>
          <w:color w:val="000000"/>
          <w:u w:val="none"/>
        </w:rPr>
        <w:t>AssessmentResultView</w:t>
      </w:r>
      <w:r>
        <w:rPr>
          <w:rFonts w:ascii="Times New Roman" w:hAnsi="Times New Roman" w:eastAsia="Times New Roman" w:cs="Times New Roman"/>
          <w:color w:val="000000"/>
          <w:u w:val="none"/>
        </w:rPr>
        <w:t>, историю, форму или баллы. Для v6 подробный разбор берётся из snapshot и показывается только при совпадении сохранённого ключа объяснения с эталоном; иначе используется честное сообщение о недоступном подробном разборе. Исторические формы без snapshot восстанавливаются своим прежним генератором.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3. </w:t>
      </w:r>
      <w:r>
        <w:rPr>
          <w:rFonts w:ascii="Times New Roman" w:hAnsi="Times New Roman" w:eastAsia="Times New Roman" w:cs="Times New Roman"/>
          <w:color w:val="000000"/>
          <w:u w:val="none"/>
        </w:rPr>
        <w:t>PUT /assessments/attempts/{id}/draft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передаёт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весь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словарь </w:t>
      </w:r>
      <w:r>
        <w:rPr>
          <w:rFonts w:ascii="Times New Roman" w:hAnsi="Times New Roman" w:eastAsia="Times New Roman" w:cs="Times New Roman"/>
          <w:color w:val="000000"/>
          <w:u w:val="none"/>
        </w:rPr>
        <w:t>answers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expected_revision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Ответ — новая revision. ID вопросов и строковые варианты берутся из полученной формы. </w:t>
      </w:r>
      <w:r>
        <w:rPr>
          <w:rFonts w:ascii="Times New Roman" w:hAnsi="Times New Roman" w:eastAsia="Times New Roman" w:cs="Times New Roman"/>
          <w:color w:val="000000"/>
          <w:u w:val="none"/>
        </w:rPr>
        <w:t>/candidate/active-assessment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возвращает активную форму либо JSON </w:t>
      </w:r>
      <w:r>
        <w:rPr>
          <w:rFonts w:ascii="Times New Roman" w:hAnsi="Times New Roman" w:eastAsia="Times New Roman" w:cs="Times New Roman"/>
          <w:color w:val="000000"/>
          <w:u w:val="none"/>
        </w:rPr>
        <w:t>null</w:t>
      </w:r>
      <w:r>
        <w:rPr>
          <w:rFonts w:ascii="Times New Roman" w:hAnsi="Times New Roman" w:eastAsia="Times New Roman" w:cs="Times New Roman"/>
          <w:color w:val="000000"/>
          <w:u w:val="none"/>
        </w:rPr>
        <w:t>; GET попытки восстанавливает черновик.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4. </w:t>
      </w:r>
      <w:r>
        <w:rPr>
          <w:rFonts w:ascii="Times New Roman" w:hAnsi="Times New Roman" w:eastAsia="Times New Roman" w:cs="Times New Roman"/>
          <w:color w:val="000000"/>
          <w:u w:val="none"/>
        </w:rPr>
        <w:t>POST .../submit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принимает </w:t>
      </w:r>
      <w:r>
        <w:rPr>
          <w:rFonts w:ascii="Times New Roman" w:hAnsi="Times New Roman" w:eastAsia="Times New Roman" w:cs="Times New Roman"/>
          <w:color w:val="000000"/>
          <w:u w:val="none"/>
        </w:rPr>
        <w:t>{ "answers": {...} }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оценивает эти переданные ответы. Здесь нет revision и нет автоматической отправки сохранённого draft: передайте актуальный словарь явно. Клиентский </w:t>
      </w:r>
      <w:r>
        <w:rPr>
          <w:rFonts w:ascii="Times New Roman" w:hAnsi="Times New Roman" w:eastAsia="Times New Roman" w:cs="Times New Roman"/>
          <w:color w:val="000000"/>
          <w:u w:val="none"/>
        </w:rPr>
        <w:t>score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запрещён.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5. </w:t>
      </w:r>
      <w:r>
        <w:rPr>
          <w:rFonts w:ascii="Times New Roman" w:hAnsi="Times New Roman" w:eastAsia="Times New Roman" w:cs="Times New Roman"/>
          <w:color w:val="000000"/>
          <w:u w:val="none"/>
        </w:rPr>
        <w:t>AssessmentResultView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содержит </w:t>
      </w:r>
      <w:r>
        <w:rPr>
          <w:rFonts w:ascii="Times New Roman" w:hAnsi="Times New Roman" w:eastAsia="Times New Roman" w:cs="Times New Roman"/>
          <w:color w:val="000000"/>
          <w:u w:val="none"/>
        </w:rPr>
        <w:t>score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skills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passed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version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limitation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demo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при наличии — </w:t>
      </w:r>
      <w:r>
        <w:rPr>
          <w:rFonts w:ascii="Times New Roman" w:hAnsi="Times New Roman" w:eastAsia="Times New Roman" w:cs="Times New Roman"/>
          <w:color w:val="000000"/>
          <w:u w:val="none"/>
        </w:rPr>
        <w:t>breakdown</w:t>
      </w:r>
      <w:r>
        <w:rPr>
          <w:rFonts w:ascii="Times New Roman" w:hAnsi="Times New Roman" w:eastAsia="Times New Roman" w:cs="Times New Roman"/>
          <w:color w:val="000000"/>
          <w:u w:val="none"/>
        </w:rPr>
        <w:t>. Повтор submit возвращает тот же сохранённый результат. Успех подтверждает категорию; провал сохраняет прежний подтверждённый результат. Форма действительна 60 минут.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6. </w:t>
      </w:r>
      <w:r>
        <w:rPr>
          <w:rFonts w:ascii="Times New Roman" w:hAnsi="Times New Roman" w:eastAsia="Times New Roman" w:cs="Times New Roman"/>
          <w:color w:val="000000"/>
          <w:u w:val="none"/>
        </w:rPr>
        <w:t>POST /assessments/attempts/{id}/integrity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принимает </w:t>
      </w:r>
      <w:r>
        <w:rPr>
          <w:rFonts w:ascii="Times New Roman" w:hAnsi="Times New Roman" w:eastAsia="Times New Roman" w:cs="Times New Roman"/>
          <w:color w:val="000000"/>
          <w:u w:val="none"/>
        </w:rPr>
        <w:t>IntegrityBatch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от 1 до 100 событий </w:t>
      </w:r>
      <w:r>
        <w:rPr>
          <w:rFonts w:ascii="Times New Roman" w:hAnsi="Times New Roman" w:eastAsia="Times New Roman" w:cs="Times New Roman"/>
          <w:color w:val="000000"/>
          <w:u w:val="none"/>
        </w:rPr>
        <w:t>{type,t,d?,q?}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Это технические сигналы открытой попытки, а не ответы: </w:t>
      </w:r>
      <w:r>
        <w:rPr>
          <w:rFonts w:ascii="Times New Roman" w:hAnsi="Times New Roman" w:eastAsia="Times New Roman" w:cs="Times New Roman"/>
          <w:color w:val="000000"/>
          <w:u w:val="none"/>
        </w:rPr>
        <w:t>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миллисекунды от её открытия, </w:t>
      </w:r>
      <w:r>
        <w:rPr>
          <w:rFonts w:ascii="Times New Roman" w:hAnsi="Times New Roman" w:eastAsia="Times New Roman" w:cs="Times New Roman"/>
          <w:color w:val="000000"/>
          <w:u w:val="none"/>
        </w:rPr>
        <w:t>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длительность возврата на вкладку, </w:t>
      </w:r>
      <w:r>
        <w:rPr>
          <w:rFonts w:ascii="Times New Roman" w:hAnsi="Times New Roman" w:eastAsia="Times New Roman" w:cs="Times New Roman"/>
          <w:color w:val="000000"/>
          <w:u w:val="none"/>
        </w:rPr>
        <w:t>q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разрешён только для ответа. Ответ 202 </w:t>
      </w:r>
      <w:r>
        <w:rPr>
          <w:rFonts w:ascii="Times New Roman" w:hAnsi="Times New Roman" w:eastAsia="Times New Roman" w:cs="Times New Roman"/>
          <w:color w:val="000000"/>
          <w:u w:val="none"/>
        </w:rPr>
        <w:t>IntegrityAck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содержит число сохранённых событий. Только владелец активной попытки может передать пакет; чужая или завершённая попытка не принимается. Ограничение — 60 запросов в минуту на вошедшего пользователя; при превышении возвращается 429 с </w:t>
      </w:r>
      <w:r>
        <w:rPr>
          <w:rFonts w:ascii="Times New Roman" w:hAnsi="Times New Roman" w:eastAsia="Times New Roman" w:cs="Times New Roman"/>
          <w:color w:val="000000"/>
          <w:u w:val="none"/>
        </w:rPr>
        <w:t>Retry-After: 60</w:t>
      </w:r>
      <w:r>
        <w:rPr>
          <w:rFonts w:ascii="Times New Roman" w:hAnsi="Times New Roman" w:eastAsia="Times New Roman" w:cs="Times New Roman"/>
          <w:color w:val="000000"/>
          <w:u w:val="none"/>
        </w:rPr>
        <w:t>. Счётчики ограничены сверху, переполнение становится сигналом и не отключает регистрацию последующих copy-событий.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В текущем Compose </w:t>
      </w:r>
      <w:r>
        <w:rPr>
          <w:rFonts w:ascii="Times New Roman" w:hAnsi="Times New Roman" w:eastAsia="Times New Roman" w:cs="Times New Roman"/>
          <w:color w:val="000000"/>
          <w:u w:val="none"/>
        </w:rPr>
        <w:t>FSP_INTEGRITY_ENFORCE=1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по умолчанию: проходной балл при </w:t>
      </w:r>
      <w:r>
        <w:rPr>
          <w:rFonts w:ascii="Times New Roman" w:hAnsi="Times New Roman" w:eastAsia="Times New Roman" w:cs="Times New Roman"/>
          <w:color w:val="000000"/>
          <w:u w:val="none"/>
        </w:rPr>
        <w:t>flagged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сохраняется, но подтверждение категории удерживается. Разрешена одна немедленная перепроверка; после второго удержания следующая форма доступна через 14 суток. Клиент перед submit ждёт отправки очереди сигналов с ограниченным сетевым таймаутом. Это эвристики; отсутствие сигналов не доказывает отсутствие внешней помощи. Быстрые автоматические UX-прогоны явно используют enforcement=0, а удержание проверяется отдельными API-регрессиями. Сигналы и их пределы описаны в </w:t>
      </w:r>
      <w:hyperlink r:id="rId15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актуальное руководство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; они не раскрывают текст ответа и при обычном demo-режиме сами по себе не блокируют грейд.</w:t>
      </w:r>
    </w:p>
    <w:p>
      <w:pPr>
        <w:pStyle w:val="GOSTList"/>
        <w:ind w:left="709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 xml:space="preserve">7. </w:t>
      </w:r>
      <w:r>
        <w:rPr>
          <w:rFonts w:ascii="Times New Roman" w:hAnsi="Times New Roman" w:eastAsia="Times New Roman" w:cs="Times New Roman"/>
          <w:color w:val="000000"/>
          <w:u w:val="none"/>
        </w:rPr>
        <w:t>POST /candidate/consents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 </w:t>
      </w:r>
      <w:r>
        <w:rPr>
          <w:rFonts w:ascii="Times New Roman" w:hAnsi="Times New Roman" w:eastAsia="Times New Roman" w:cs="Times New Roman"/>
          <w:color w:val="000000"/>
          <w:u w:val="none"/>
        </w:rPr>
        <w:t>published:true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text_version=demo-consent-v1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включает поиск только после подтверждения. </w:t>
      </w:r>
      <w:r>
        <w:rPr>
          <w:rFonts w:ascii="Times New Roman" w:hAnsi="Times New Roman" w:eastAsia="Times New Roman" w:cs="Times New Roman"/>
          <w:color w:val="000000"/>
          <w:u w:val="none"/>
        </w:rPr>
        <w:t>published:false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снимает профиль с текущего поиска, shortlist и старых подборок. Уже выданный контакт управляется отдельным отзывом, см. ниже.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Повтор по тому же грейду/направлению — через 14 суток после submit; живая форма возвращается повторным start. Смена подтверждённого грейда — не чаще 90 суток. Отсутствие подтверждения не компенсируется достижениями ФСП. История доступна через </w:t>
      </w:r>
      <w:r>
        <w:rPr>
          <w:rFonts w:ascii="Times New Roman" w:hAnsi="Times New Roman" w:eastAsia="Times New Roman" w:cs="Times New Roman"/>
          <w:color w:val="000000"/>
          <w:u w:val="none"/>
        </w:rPr>
        <w:t>/candidate/assessment-history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Проверки сопоставимости на синтетике не являются независимой профессиональной аттестацией. Техническая проверка параметризации и устойчивости вариантов описана в </w:t>
      </w:r>
      <w:hyperlink r:id="rId15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актуальное руководство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, включая сохранённые исторические v5 и текущую v6. Это не гарантия защиты от внешней помощи или равной сложности. Junior/Middle не калиброваны. Независимый пилот пока только пустой шаблон и анализатор в </w:t>
      </w:r>
      <w:r>
        <w:rPr>
          <w:rFonts w:ascii="Times New Roman" w:hAnsi="Times New Roman" w:eastAsia="Times New Roman" w:cs="Times New Roman"/>
          <w:color w:val="000000"/>
          <w:u w:val="none"/>
        </w:rPr>
        <w:t>requirements/pilot/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6. Подбор, предложение и контакт — основной сценарий ТЗ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Работодатель сохраняет свой </w:t>
      </w:r>
      <w:r>
        <w:rPr>
          <w:rFonts w:ascii="Times New Roman" w:hAnsi="Times New Roman" w:eastAsia="Times New Roman" w:cs="Times New Roman"/>
          <w:color w:val="000000"/>
          <w:u w:val="none"/>
        </w:rPr>
        <w:t>CompanyInput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и, при необходимости, </w:t>
      </w:r>
      <w:r>
        <w:rPr>
          <w:rFonts w:ascii="Times New Roman" w:hAnsi="Times New Roman" w:eastAsia="Times New Roman" w:cs="Times New Roman"/>
          <w:color w:val="000000"/>
          <w:u w:val="none"/>
        </w:rPr>
        <w:t>NeedInput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Потребность содержит поля </w:t>
      </w:r>
      <w:r>
        <w:rPr>
          <w:rFonts w:ascii="Times New Roman" w:hAnsi="Times New Roman" w:eastAsia="Times New Roman" w:cs="Times New Roman"/>
          <w:color w:val="000000"/>
          <w:u w:val="none"/>
        </w:rPr>
        <w:t>SearchInput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плюс </w:t>
      </w:r>
      <w:r>
        <w:rPr>
          <w:rFonts w:ascii="Times New Roman" w:hAnsi="Times New Roman" w:eastAsia="Times New Roman" w:cs="Times New Roman"/>
          <w:color w:val="000000"/>
          <w:u w:val="none"/>
        </w:rPr>
        <w:t>title/description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u w:val="none"/>
        </w:rPr>
        <w:t>POST /company/searches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принимает специализацию, подтверждённый грейд, </w:t>
      </w:r>
      <w:r>
        <w:rPr>
          <w:rFonts w:ascii="Times New Roman" w:hAnsi="Times New Roman" w:eastAsia="Times New Roman" w:cs="Times New Roman"/>
          <w:color w:val="000000"/>
          <w:u w:val="none"/>
        </w:rPr>
        <w:t>must_skills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desired_skills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work_tasks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верхний бюджет </w:t>
      </w:r>
      <w:r>
        <w:rPr>
          <w:rFonts w:ascii="Times New Roman" w:hAnsi="Times New Roman" w:eastAsia="Times New Roman" w:cs="Times New Roman"/>
          <w:color w:val="000000"/>
          <w:u w:val="none"/>
        </w:rPr>
        <w:t>salary_to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format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fsp_only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Ответ 201 </w:t>
      </w:r>
      <w:r>
        <w:rPr>
          <w:rFonts w:ascii="Times New Roman" w:hAnsi="Times New Roman" w:eastAsia="Times New Roman" w:cs="Times New Roman"/>
          <w:color w:val="000000"/>
          <w:u w:val="none"/>
        </w:rPr>
        <w:t>SearchResultView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содержит </w:t>
      </w:r>
      <w:r>
        <w:rPr>
          <w:rFonts w:ascii="Times New Roman" w:hAnsi="Times New Roman" w:eastAsia="Times New Roman" w:cs="Times New Roman"/>
          <w:color w:val="000000"/>
          <w:u w:val="none"/>
        </w:rPr>
        <w:t>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candidate_ids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rows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created_at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algorithm_version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demo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В строках — подтверждённые демо-оценкой навыки, </w:t>
      </w:r>
      <w:r>
        <w:rPr>
          <w:rFonts w:ascii="Times New Roman" w:hAnsi="Times New Roman" w:eastAsia="Times New Roman" w:cs="Times New Roman"/>
          <w:color w:val="000000"/>
          <w:u w:val="none"/>
        </w:rPr>
        <w:t>skill_evidence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объяснение </w:t>
      </w:r>
      <w:r>
        <w:rPr>
          <w:rFonts w:ascii="Times New Roman" w:hAnsi="Times New Roman" w:eastAsia="Times New Roman" w:cs="Times New Roman"/>
          <w:color w:val="000000"/>
          <w:u w:val="none"/>
        </w:rPr>
        <w:t>matched/missing/components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work_matches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итоговый </w:t>
      </w:r>
      <w:r>
        <w:rPr>
          <w:rFonts w:ascii="Times New Roman" w:hAnsi="Times New Roman" w:eastAsia="Times New Roman" w:cs="Times New Roman"/>
          <w:color w:val="000000"/>
          <w:u w:val="none"/>
        </w:rPr>
        <w:t>score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fsp_bonus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а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не контакты</w:t>
      </w:r>
      <w:r>
        <w:rPr>
          <w:rFonts w:ascii="Times New Roman" w:hAnsi="Times New Roman" w:eastAsia="Times New Roman" w:cs="Times New Roman"/>
          <w:color w:val="000000"/>
          <w:u w:val="none"/>
        </w:rPr>
        <w:t>. Вес ранжирования: оценка 45%, навыки 35%, ФСП 10%, актуальность 10%.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SearchInput.work_tasks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до шести ID задач выбранной специализации из каталога </w:t>
      </w:r>
      <w:r>
        <w:rPr>
          <w:rFonts w:ascii="Times New Roman" w:hAnsi="Times New Roman" w:eastAsia="Times New Roman" w:cs="Times New Roman"/>
          <w:color w:val="000000"/>
          <w:u w:val="none"/>
        </w:rPr>
        <w:t>team-work-v1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по умолчанию </w:t>
      </w:r>
      <w:r>
        <w:rPr>
          <w:rFonts w:ascii="Times New Roman" w:hAnsi="Times New Roman" w:eastAsia="Times New Roman" w:cs="Times New Roman"/>
          <w:color w:val="000000"/>
          <w:u w:val="none"/>
        </w:rPr>
        <w:t>[]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Повторы удаляются; неизвестный ID или задача другой специализации дают 422. Например, Backend: </w:t>
      </w:r>
      <w:r>
        <w:rPr>
          <w:rFonts w:ascii="Times New Roman" w:hAnsi="Times New Roman" w:eastAsia="Times New Roman" w:cs="Times New Roman"/>
          <w:color w:val="000000"/>
          <w:u w:val="none"/>
        </w:rPr>
        <w:t>["api-development", "sql-reporting"]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Связанные навыки добавляются к желательному совпадению, без изменения переданных </w:t>
      </w:r>
      <w:r>
        <w:rPr>
          <w:rFonts w:ascii="Times New Roman" w:hAnsi="Times New Roman" w:eastAsia="Times New Roman" w:cs="Times New Roman"/>
          <w:color w:val="000000"/>
          <w:u w:val="none"/>
        </w:rPr>
        <w:t>must_skills/desired_skills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жёстких фильтров. Заявленные технологии и практика не подменяют их.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Элемент </w:t>
      </w:r>
      <w:r>
        <w:rPr>
          <w:rFonts w:ascii="Times New Roman" w:hAnsi="Times New Roman" w:eastAsia="Times New Roman" w:cs="Times New Roman"/>
          <w:color w:val="000000"/>
          <w:u w:val="none"/>
        </w:rPr>
        <w:t>WorkTaskMatchView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 </w:t>
      </w:r>
      <w:r>
        <w:rPr>
          <w:rFonts w:ascii="Times New Roman" w:hAnsi="Times New Roman" w:eastAsia="Times New Roman" w:cs="Times New Roman"/>
          <w:color w:val="000000"/>
          <w:u w:val="none"/>
        </w:rPr>
        <w:t>work_matches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содержит </w:t>
      </w:r>
      <w:r>
        <w:rPr>
          <w:rFonts w:ascii="Times New Roman" w:hAnsi="Times New Roman" w:eastAsia="Times New Roman" w:cs="Times New Roman"/>
          <w:color w:val="000000"/>
          <w:u w:val="none"/>
        </w:rPr>
        <w:t>id/label/required_skills/matched_skills/missing_skills/status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u w:val="none"/>
        </w:rPr>
        <w:t>status=covered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означает отсутствие пробелов в ограниченной оценочной матрице; </w:t>
      </w:r>
      <w:r>
        <w:rPr>
          <w:rFonts w:ascii="Times New Roman" w:hAnsi="Times New Roman" w:eastAsia="Times New Roman" w:cs="Times New Roman"/>
          <w:color w:val="000000"/>
          <w:u w:val="none"/>
        </w:rPr>
        <w:t>partial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есть совпадения и пробелы; </w:t>
      </w:r>
      <w:r>
        <w:rPr>
          <w:rFonts w:ascii="Times New Roman" w:hAnsi="Times New Roman" w:eastAsia="Times New Roman" w:cs="Times New Roman"/>
          <w:color w:val="000000"/>
          <w:u w:val="none"/>
        </w:rPr>
        <w:t>gap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совпадений нет. Это объяснение соответствия навыков, а не подтверждение рабочего опыта. При выборе задач </w:t>
      </w:r>
      <w:r>
        <w:rPr>
          <w:rFonts w:ascii="Times New Roman" w:hAnsi="Times New Roman" w:eastAsia="Times New Roman" w:cs="Times New Roman"/>
          <w:color w:val="000000"/>
          <w:u w:val="none"/>
        </w:rPr>
        <w:t>algorithm_version=weighted-v1+team-work-v1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иначе </w:t>
      </w:r>
      <w:r>
        <w:rPr>
          <w:rFonts w:ascii="Times New Roman" w:hAnsi="Times New Roman" w:eastAsia="Times New Roman" w:cs="Times New Roman"/>
          <w:color w:val="000000"/>
          <w:u w:val="none"/>
        </w:rPr>
        <w:t>weighted-v1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Выбор сохраняется в потребности и </w:t>
      </w:r>
      <w:r>
        <w:rPr>
          <w:rFonts w:ascii="Times New Roman" w:hAnsi="Times New Roman" w:eastAsia="Times New Roman" w:cs="Times New Roman"/>
          <w:color w:val="000000"/>
          <w:u w:val="none"/>
        </w:rPr>
        <w:t>query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истории поиска; объяснение </w:t>
      </w:r>
      <w:r>
        <w:rPr>
          <w:rFonts w:ascii="Times New Roman" w:hAnsi="Times New Roman" w:eastAsia="Times New Roman" w:cs="Times New Roman"/>
          <w:color w:val="000000"/>
          <w:u w:val="none"/>
        </w:rPr>
        <w:t>work_matches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сохраняется вместе с исходными баллами. Legacy snapshot без новых полей читается без выдуманного исторического объяснения.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GET </w:t>
      </w:r>
      <w:r>
        <w:rPr>
          <w:rFonts w:ascii="Times New Roman" w:hAnsi="Times New Roman" w:eastAsia="Times New Roman" w:cs="Times New Roman"/>
          <w:color w:val="000000"/>
          <w:u w:val="none"/>
        </w:rPr>
        <w:t>/company/searches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даёт последние десять собственных поисков. GET </w:t>
      </w:r>
      <w:r>
        <w:rPr>
          <w:rFonts w:ascii="Times New Roman" w:hAnsi="Times New Roman" w:eastAsia="Times New Roman" w:cs="Times New Roman"/>
          <w:color w:val="000000"/>
          <w:u w:val="none"/>
        </w:rPr>
        <w:t>/company/searches/page?offset=0&amp;limit=8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возвращает </w:t>
      </w:r>
      <w:r>
        <w:rPr>
          <w:rFonts w:ascii="Times New Roman" w:hAnsi="Times New Roman" w:eastAsia="Times New Roman" w:cs="Times New Roman"/>
          <w:color w:val="000000"/>
          <w:u w:val="none"/>
        </w:rPr>
        <w:t>SearchHistoryPage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u w:val="none"/>
        </w:rPr>
        <w:t>items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(те же </w:t>
      </w:r>
      <w:r>
        <w:rPr>
          <w:rFonts w:ascii="Times New Roman" w:hAnsi="Times New Roman" w:eastAsia="Times New Roman" w:cs="Times New Roman"/>
          <w:color w:val="000000"/>
          <w:u w:val="none"/>
        </w:rPr>
        <w:t>SearchSnapshotView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), </w:t>
      </w:r>
      <w:r>
        <w:rPr>
          <w:rFonts w:ascii="Times New Roman" w:hAnsi="Times New Roman" w:eastAsia="Times New Roman" w:cs="Times New Roman"/>
          <w:color w:val="000000"/>
          <w:u w:val="none"/>
        </w:rPr>
        <w:t>total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offset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limit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u w:val="none"/>
        </w:rPr>
        <w:t>offset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 диапазоне 0–2 147 483 647, </w:t>
      </w:r>
      <w:r>
        <w:rPr>
          <w:rFonts w:ascii="Times New Roman" w:hAnsi="Times New Roman" w:eastAsia="Times New Roman" w:cs="Times New Roman"/>
          <w:color w:val="000000"/>
          <w:u w:val="none"/>
        </w:rPr>
        <w:t>limit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1–100, по умолчанию 8. Отрицательные/некорректные параметры — 422; страницы за концом списка возвращают пустые </w:t>
      </w:r>
      <w:r>
        <w:rPr>
          <w:rFonts w:ascii="Times New Roman" w:hAnsi="Times New Roman" w:eastAsia="Times New Roman" w:cs="Times New Roman"/>
          <w:color w:val="000000"/>
          <w:u w:val="none"/>
        </w:rPr>
        <w:t>items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 текущим </w:t>
      </w:r>
      <w:r>
        <w:rPr>
          <w:rFonts w:ascii="Times New Roman" w:hAnsi="Times New Roman" w:eastAsia="Times New Roman" w:cs="Times New Roman"/>
          <w:color w:val="000000"/>
          <w:u w:val="none"/>
        </w:rPr>
        <w:t>total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Доступ только работодателю к своей истории; порядок — </w:t>
      </w:r>
      <w:r>
        <w:rPr>
          <w:rFonts w:ascii="Times New Roman" w:hAnsi="Times New Roman" w:eastAsia="Times New Roman" w:cs="Times New Roman"/>
          <w:color w:val="000000"/>
          <w:u w:val="none"/>
        </w:rPr>
        <w:t>created_at DESC, id DESC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При новых поисках между запросами offset-страницы могут сдвинуться; интерфейс после создания подборки открывает первую страницу. Прежний list-маршрут сохраняется для совместимости. GET </w:t>
      </w:r>
      <w:r>
        <w:rPr>
          <w:rFonts w:ascii="Times New Roman" w:hAnsi="Times New Roman" w:eastAsia="Times New Roman" w:cs="Times New Roman"/>
          <w:color w:val="000000"/>
          <w:u w:val="none"/>
        </w:rPr>
        <w:t>/company/searches/{search_id}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сохраняет исторический порядок/объяснение, но проверяет текущую публикацию заново. </w:t>
      </w:r>
      <w:r>
        <w:rPr>
          <w:rFonts w:ascii="Times New Roman" w:hAnsi="Times New Roman" w:eastAsia="Times New Roman" w:cs="Times New Roman"/>
          <w:color w:val="000000"/>
          <w:u w:val="none"/>
        </w:rPr>
        <w:t>historical_explanation:false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означает legacy-снимок без исходных баллов; они не выдумываются. Shortlist принадлежит компании, операции PUT/DELETE возвращают 204.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POST /company/invitations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принимает </w:t>
      </w:r>
      <w:r>
        <w:rPr>
          <w:rFonts w:ascii="Times New Roman" w:hAnsi="Times New Roman" w:eastAsia="Times New Roman" w:cs="Times New Roman"/>
          <w:color w:val="000000"/>
          <w:u w:val="none"/>
        </w:rPr>
        <w:t>candidate_id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description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salary_from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salary_to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salary_basis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u w:val="none"/>
        </w:rPr>
        <w:t>gross/net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), необязательный </w:t>
      </w:r>
      <w:r>
        <w:rPr>
          <w:rFonts w:ascii="Times New Roman" w:hAnsi="Times New Roman" w:eastAsia="Times New Roman" w:cs="Times New Roman"/>
          <w:color w:val="000000"/>
          <w:u w:val="none"/>
        </w:rPr>
        <w:t>vacancy_id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Зарплата — целое 1–10000000 RUB, верхняя граница не ниже нижней; описание 20–4000 символов. Профиль должен быть опубликован и подтверждён. Если передана вакансия, она должна принадлежать отправителю и быть опубликована. Обязательный заголовок </w:t>
      </w:r>
      <w:r>
        <w:rPr>
          <w:rFonts w:ascii="Times New Roman" w:hAnsi="Times New Roman" w:eastAsia="Times New Roman" w:cs="Times New Roman"/>
          <w:color w:val="000000"/>
          <w:u w:val="none"/>
        </w:rPr>
        <w:t>Idempotency-Key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8–128 символов: тот же ключ/тело возвращает прежнее предложение с 201; иное тело под тем же ключом — 409. Вакансия не обязательна: предложение компании непосредственно кандидату остаётся основным сценарием, а не витриной сторонних вакансий.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InvitationView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включает компанию и способ связи, кандидата/alias, описание, зарплату и </w:t>
      </w:r>
      <w:r>
        <w:rPr>
          <w:rFonts w:ascii="Times New Roman" w:hAnsi="Times New Roman" w:eastAsia="Times New Roman" w:cs="Times New Roman"/>
          <w:color w:val="000000"/>
          <w:u w:val="none"/>
        </w:rPr>
        <w:t>currency=RUB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status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expires_at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contact_revoked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demo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Поле </w:t>
      </w:r>
      <w:r>
        <w:rPr>
          <w:rFonts w:ascii="Times New Roman" w:hAnsi="Times New Roman" w:eastAsia="Times New Roman" w:cs="Times New Roman"/>
          <w:color w:val="000000"/>
          <w:u w:val="none"/>
        </w:rPr>
        <w:t>contact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необязательное и выдаётся работодателю при наличии его grant. Срок предложения — семь суток. Состояния: </w:t>
      </w:r>
      <w:r>
        <w:rPr>
          <w:rFonts w:ascii="Times New Roman" w:hAnsi="Times New Roman" w:eastAsia="Times New Roman" w:cs="Times New Roman"/>
          <w:color w:val="000000"/>
          <w:u w:val="none"/>
        </w:rPr>
        <w:t>sent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→ </w:t>
      </w:r>
      <w:r>
        <w:rPr>
          <w:rFonts w:ascii="Times New Roman" w:hAnsi="Times New Roman" w:eastAsia="Times New Roman" w:cs="Times New Roman"/>
          <w:color w:val="000000"/>
          <w:u w:val="none"/>
        </w:rPr>
        <w:t>viewed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→ </w:t>
      </w:r>
      <w:r>
        <w:rPr>
          <w:rFonts w:ascii="Times New Roman" w:hAnsi="Times New Roman" w:eastAsia="Times New Roman" w:cs="Times New Roman"/>
          <w:color w:val="000000"/>
          <w:u w:val="none"/>
        </w:rPr>
        <w:t>accepted/declined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отправитель может перевести </w:t>
      </w:r>
      <w:r>
        <w:rPr>
          <w:rFonts w:ascii="Times New Roman" w:hAnsi="Times New Roman" w:eastAsia="Times New Roman" w:cs="Times New Roman"/>
          <w:color w:val="000000"/>
          <w:u w:val="none"/>
        </w:rPr>
        <w:t>sent/viewed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 </w:t>
      </w:r>
      <w:r>
        <w:rPr>
          <w:rFonts w:ascii="Times New Roman" w:hAnsi="Times New Roman" w:eastAsia="Times New Roman" w:cs="Times New Roman"/>
          <w:color w:val="000000"/>
          <w:u w:val="none"/>
        </w:rPr>
        <w:t>withdrawn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Просроченная открытая запись показывается как </w:t>
      </w:r>
      <w:r>
        <w:rPr>
          <w:rFonts w:ascii="Times New Roman" w:hAnsi="Times New Roman" w:eastAsia="Times New Roman" w:cs="Times New Roman"/>
          <w:color w:val="000000"/>
          <w:u w:val="none"/>
        </w:rPr>
        <w:t>expired</w:t>
      </w:r>
      <w:r>
        <w:rPr>
          <w:rFonts w:ascii="Times New Roman" w:hAnsi="Times New Roman" w:eastAsia="Times New Roman" w:cs="Times New Roman"/>
          <w:color w:val="000000"/>
          <w:u w:val="none"/>
        </w:rPr>
        <w:t>; принять её нельзя. Повтор той же terminal decision идемпотентен, противоположная — 409.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После accepted только соответствующая компания получает контакт через свои приглашения, detail/PDF профиля. Другая компания не наследует доступ. </w:t>
      </w:r>
      <w:r>
        <w:rPr>
          <w:rFonts w:ascii="Times New Roman" w:hAnsi="Times New Roman" w:eastAsia="Times New Roman" w:cs="Times New Roman"/>
          <w:color w:val="000000"/>
          <w:u w:val="none"/>
        </w:rPr>
        <w:t>DELETE /candidate/contacts/{company_id}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возвращает 204 и отзывает доступ по всем приглашениям/откликам этому получателю. Повторное принятие прежнего accepted не отменяет отзыв. Публикация профиля и контактный grant различаются: выключение поиска само по себе не отзывает ранее выданный контакт. PDF компании строится из разрешённой проекции; ранее скачанные файлы сервер не может отозвать с компьютера получателя.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7. Вакансии, самостоятельный отклик и короткие задания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Собственная вакансия </w:t>
      </w:r>
      <w:r>
        <w:rPr>
          <w:rFonts w:ascii="Times New Roman" w:hAnsi="Times New Roman" w:eastAsia="Times New Roman" w:cs="Times New Roman"/>
          <w:color w:val="000000"/>
          <w:u w:val="none"/>
        </w:rPr>
        <w:t>VacancyInput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имеет </w:t>
      </w:r>
      <w:r>
        <w:rPr>
          <w:rFonts w:ascii="Times New Roman" w:hAnsi="Times New Roman" w:eastAsia="Times New Roman" w:cs="Times New Roman"/>
          <w:color w:val="000000"/>
          <w:u w:val="none"/>
        </w:rPr>
        <w:t>draft/published/closed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специализацию/грейд, навыки, формат и обязательную зарплату. PUT требует актуальный </w:t>
      </w:r>
      <w:r>
        <w:rPr>
          <w:rFonts w:ascii="Times New Roman" w:hAnsi="Times New Roman" w:eastAsia="Times New Roman" w:cs="Times New Roman"/>
          <w:color w:val="000000"/>
          <w:u w:val="none"/>
        </w:rPr>
        <w:t>expected_version</w:t>
      </w:r>
      <w:r>
        <w:rPr>
          <w:rFonts w:ascii="Times New Roman" w:hAnsi="Times New Roman" w:eastAsia="Times New Roman" w:cs="Times New Roman"/>
          <w:color w:val="000000"/>
          <w:u w:val="none"/>
        </w:rPr>
        <w:t>; создание POST этого поля не требует. Чужая вакансия — 404, конфликт версии — 409. Кандидат видит опубликованные.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Добровольный POST </w:t>
      </w:r>
      <w:r>
        <w:rPr>
          <w:rFonts w:ascii="Times New Roman" w:hAnsi="Times New Roman" w:eastAsia="Times New Roman" w:cs="Times New Roman"/>
          <w:color w:val="000000"/>
          <w:u w:val="none"/>
        </w:rPr>
        <w:t>/candidate/vacancies/{id}/apply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требует подтверждённого грейда и сразу разрешает контакт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компании этой вакансии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u w:val="none"/>
        </w:rPr>
        <w:t>ApplicationView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сохраняет snapshot вакансии, </w:t>
      </w:r>
      <w:r>
        <w:rPr>
          <w:rFonts w:ascii="Times New Roman" w:hAnsi="Times New Roman" w:eastAsia="Times New Roman" w:cs="Times New Roman"/>
          <w:color w:val="000000"/>
          <w:u w:val="none"/>
        </w:rPr>
        <w:t>status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contact_revoked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даты и alias. Работодатель назначает </w:t>
      </w:r>
      <w:r>
        <w:rPr>
          <w:rFonts w:ascii="Times New Roman" w:hAnsi="Times New Roman" w:eastAsia="Times New Roman" w:cs="Times New Roman"/>
          <w:color w:val="000000"/>
          <w:u w:val="none"/>
        </w:rPr>
        <w:t>viewed/accepted/declined</w:t>
      </w:r>
      <w:r>
        <w:rPr>
          <w:rFonts w:ascii="Times New Roman" w:hAnsi="Times New Roman" w:eastAsia="Times New Roman" w:cs="Times New Roman"/>
          <w:color w:val="000000"/>
          <w:u w:val="none"/>
        </w:rPr>
        <w:t>; decline отзывает этот grant. Кандидат может сделать withdraw, повтор идемпотентен. Контакт может оставаться разрешённым по другому активному основанию той же компании; общий DELETE выше отзывает их все.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Короткие задания </w:t>
      </w:r>
      <w:r>
        <w:rPr>
          <w:rFonts w:ascii="Times New Roman" w:hAnsi="Times New Roman" w:eastAsia="Times New Roman" w:cs="Times New Roman"/>
          <w:color w:val="000000"/>
          <w:u w:val="none"/>
        </w:rPr>
        <w:t>/company/tasks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отдельный простой формат текста с рубрикой, не constructor bank. Они предлагаются по подтверждённой специализации/грейду, не чаще раза в семь суток. Ответ 20–4000 символов; одинаковый повтор возвращает прежний ответ, изменение — 409. Автор оценивает 0–100 и оставляет feedback 20–2000 символов. Ручная оценка неизменна; score ≥70 обновляет </w:t>
      </w:r>
      <w:r>
        <w:rPr>
          <w:rFonts w:ascii="Times New Roman" w:hAnsi="Times New Roman" w:eastAsia="Times New Roman" w:cs="Times New Roman"/>
          <w:color w:val="000000"/>
          <w:u w:val="none"/>
        </w:rPr>
        <w:t>activity_at</w:t>
      </w:r>
      <w:r>
        <w:rPr>
          <w:rFonts w:ascii="Times New Roman" w:hAnsi="Times New Roman" w:eastAsia="Times New Roman" w:cs="Times New Roman"/>
          <w:color w:val="000000"/>
          <w:u w:val="none"/>
        </w:rPr>
        <w:t>, но не подтверждённый грейд или первичную оценку.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GET /candidate/tasks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сохраняет </w:t>
      </w:r>
      <w:r>
        <w:rPr>
          <w:rFonts w:ascii="Times New Roman" w:hAnsi="Times New Roman" w:eastAsia="Times New Roman" w:cs="Times New Roman"/>
          <w:color w:val="000000"/>
          <w:u w:val="none"/>
        </w:rPr>
        <w:t>available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next_at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responses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добавляет </w:t>
      </w:r>
      <w:r>
        <w:rPr>
          <w:rFonts w:ascii="Times New Roman" w:hAnsi="Times New Roman" w:eastAsia="Times New Roman" w:cs="Times New Roman"/>
          <w:color w:val="000000"/>
          <w:u w:val="none"/>
        </w:rPr>
        <w:t>recommendation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(либо null) и </w:t>
      </w:r>
      <w:r>
        <w:rPr>
          <w:rFonts w:ascii="Times New Roman" w:hAnsi="Times New Roman" w:eastAsia="Times New Roman" w:cs="Times New Roman"/>
          <w:color w:val="000000"/>
          <w:u w:val="none"/>
        </w:rPr>
        <w:t>recommendation_state</w:t>
      </w:r>
      <w:r>
        <w:rPr>
          <w:rFonts w:ascii="Times New Roman" w:hAnsi="Times New Roman" w:eastAsia="Times New Roman" w:cs="Times New Roman"/>
          <w:color w:val="000000"/>
          <w:u w:val="none"/>
        </w:rPr>
        <w:t>: offered, no-grade, cooldown, no-tasks. Рекомендация содержит id, публичное задание, начало недели UTC и начало следующей недели. Она формируется при открытии кабинета без записи в БД; учитывает подтверждённую категорию и предыдущие ответы. Изменение набора доступных заданий может обновить выбор. Фоновой доставки и закреплённого назначения нет. Рекомендованное задание стоит первым в каталоге.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8. Конструктор, публикации и импорт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Предложение ИИ: POST </w:t>
      </w:r>
      <w:r>
        <w:rPr>
          <w:rFonts w:ascii="Times New Roman" w:hAnsi="Times New Roman" w:eastAsia="Times New Roman" w:cs="Times New Roman"/>
          <w:color w:val="000000"/>
          <w:u w:val="none"/>
        </w:rPr>
        <w:t>/company/banks/{bank_id}/versions/{version_id}/suggest-task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принимает </w:t>
      </w:r>
      <w:r>
        <w:rPr>
          <w:rFonts w:ascii="Times New Roman" w:hAnsi="Times New Roman" w:eastAsia="Times New Roman" w:cs="Times New Roman"/>
          <w:color w:val="000000"/>
          <w:u w:val="none"/>
        </w:rPr>
        <w:t>revision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kind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(четыре типа без code), </w:t>
      </w:r>
      <w:r>
        <w:rPr>
          <w:rFonts w:ascii="Times New Roman" w:hAnsi="Times New Roman" w:eastAsia="Times New Roman" w:cs="Times New Roman"/>
          <w:color w:val="000000"/>
          <w:u w:val="none"/>
        </w:rPr>
        <w:t>specialization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grade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skills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brief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(10–1500 символов). Параметры должны совпадать с текущим draft. Возвращает </w:t>
      </w:r>
      <w:r>
        <w:rPr>
          <w:rFonts w:ascii="Times New Roman" w:hAnsi="Times New Roman" w:eastAsia="Times New Roman" w:cs="Times New Roman"/>
          <w:color w:val="000000"/>
          <w:u w:val="none"/>
        </w:rPr>
        <w:t>GenerationResult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авторский </w:t>
      </w:r>
      <w:r>
        <w:rPr>
          <w:rFonts w:ascii="Times New Roman" w:hAnsi="Times New Roman" w:eastAsia="Times New Roman" w:cs="Times New Roman"/>
          <w:color w:val="000000"/>
          <w:u w:val="none"/>
        </w:rPr>
        <w:t>task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source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model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checks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review_required=true</w:t>
      </w:r>
      <w:r>
        <w:rPr>
          <w:rFonts w:ascii="Times New Roman" w:hAnsi="Times New Roman" w:eastAsia="Times New Roman" w:cs="Times New Roman"/>
          <w:color w:val="000000"/>
          <w:u w:val="none"/>
        </w:rPr>
        <w:t>. Не сохраняет предложение и не публикует набор. Проверить эталон/рубрику, затем добавить в собственный draft через обычный PATCH. Только внутренний адрес модели; 10 запросов/мин на автора, максимум два одновременно. 503 — модель выключена/недоступна/занята, 502 — неверный ответ модели, 409 — старая или опубликованная версия, 429 — лимит. Чужая компания получает 404.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Автор видит только свои банки; scope </w:t>
      </w:r>
      <w:r>
        <w:rPr>
          <w:rFonts w:ascii="Times New Roman" w:hAnsi="Times New Roman" w:eastAsia="Times New Roman" w:cs="Times New Roman"/>
          <w:color w:val="000000"/>
          <w:u w:val="none"/>
        </w:rPr>
        <w:t>platform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доступен лишь локальному demo-куратору </w:t>
      </w:r>
      <w:r>
        <w:rPr>
          <w:rFonts w:ascii="Times New Roman" w:hAnsi="Times New Roman" w:eastAsia="Times New Roman" w:cs="Times New Roman"/>
          <w:color w:val="000000"/>
          <w:u w:val="none"/>
        </w:rPr>
        <w:t>demo-employer-x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остальные используют </w:t>
      </w:r>
      <w:r>
        <w:rPr>
          <w:rFonts w:ascii="Times New Roman" w:hAnsi="Times New Roman" w:eastAsia="Times New Roman" w:cs="Times New Roman"/>
          <w:color w:val="000000"/>
          <w:u w:val="none"/>
        </w:rPr>
        <w:t>employer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u w:val="none"/>
        </w:rPr>
        <w:t>BankCreate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u w:val="none"/>
        </w:rPr>
        <w:t>title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specialization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grade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time_limit_minutes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tasks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необязательный </w:t>
      </w:r>
      <w:r>
        <w:rPr>
          <w:rFonts w:ascii="Times New Roman" w:hAnsi="Times New Roman" w:eastAsia="Times New Roman" w:cs="Times New Roman"/>
          <w:color w:val="000000"/>
          <w:u w:val="none"/>
        </w:rPr>
        <w:t>external_id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scope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Пустой draft допустим. </w:t>
      </w:r>
      <w:r>
        <w:rPr>
          <w:rFonts w:ascii="Times New Roman" w:hAnsi="Times New Roman" w:eastAsia="Times New Roman" w:cs="Times New Roman"/>
          <w:color w:val="000000"/>
          <w:u w:val="none"/>
        </w:rPr>
        <w:t>BankView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содержит </w:t>
      </w:r>
      <w:r>
        <w:rPr>
          <w:rFonts w:ascii="Times New Roman" w:hAnsi="Times New Roman" w:eastAsia="Times New Roman" w:cs="Times New Roman"/>
          <w:color w:val="000000"/>
          <w:u w:val="none"/>
        </w:rPr>
        <w:t>current_version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versions</w:t>
      </w:r>
      <w:r>
        <w:rPr>
          <w:rFonts w:ascii="Times New Roman" w:hAnsi="Times New Roman" w:eastAsia="Times New Roman" w:cs="Times New Roman"/>
          <w:color w:val="000000"/>
          <w:u w:val="none"/>
        </w:rPr>
        <w:t>, новые номера идут первыми.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PATCH версии передаёт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полный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документ и актуальную </w:t>
      </w:r>
      <w:r>
        <w:rPr>
          <w:rFonts w:ascii="Times New Roman" w:hAnsi="Times New Roman" w:eastAsia="Times New Roman" w:cs="Times New Roman"/>
          <w:color w:val="000000"/>
          <w:u w:val="none"/>
        </w:rPr>
        <w:t>revision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а не набор частичных полей. Publish передаёт </w:t>
      </w:r>
      <w:r>
        <w:rPr>
          <w:rFonts w:ascii="Times New Roman" w:hAnsi="Times New Roman" w:eastAsia="Times New Roman" w:cs="Times New Roman"/>
          <w:color w:val="000000"/>
          <w:u w:val="none"/>
        </w:rPr>
        <w:t>{ "revision": N }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проверяет достаточность условий, навыков, ключей/рубрик/примеров. Ошибка полноты — 422, stale revision или правка published — 409. Published-content не редактируется: fork создаёт новый draft (201), archive снимает опубликованную версию с новой выдачи. Архив не удаляет существующие попытки. Preview выдаёт </w:t>
      </w:r>
      <w:r>
        <w:rPr>
          <w:rFonts w:ascii="Times New Roman" w:hAnsi="Times New Roman" w:eastAsia="Times New Roman" w:cs="Times New Roman"/>
          <w:color w:val="000000"/>
          <w:u w:val="none"/>
        </w:rPr>
        <w:t>VersionPublic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без </w:t>
      </w:r>
      <w:r>
        <w:rPr>
          <w:rFonts w:ascii="Times New Roman" w:hAnsi="Times New Roman" w:eastAsia="Times New Roman" w:cs="Times New Roman"/>
          <w:color w:val="000000"/>
          <w:u w:val="none"/>
        </w:rPr>
        <w:t>answer_key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numeric_answer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hidden_tests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Автор получает </w:t>
      </w:r>
      <w:r>
        <w:rPr>
          <w:rFonts w:ascii="Times New Roman" w:hAnsi="Times New Roman" w:eastAsia="Times New Roman" w:cs="Times New Roman"/>
          <w:color w:val="000000"/>
          <w:u w:val="none"/>
        </w:rPr>
        <w:t>VersionAuthor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2.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2 — Конструктор, публикации и импорт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141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Тип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Авторская проверка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Формат значения в answers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single_choice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≥2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options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, один ID в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answer_key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строка ID варианта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multiple_choice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ID вариантов, ключ;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partial_credit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массив различных ID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numeric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numeric_answer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absolute_tolerance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relative_tolerance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unit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конечное число или строка с единицей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open_response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текстовая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rubric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answer_limit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строка; проверяет автор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code</w:t>
            </w:r>
          </w:p>
        </w:tc>
        <w:tc>
          <w:tcPr>
            <w:tcW w:type="dxa" w:w="4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language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starter_code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, публичные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examples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hidden_tests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runtime_limits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строка исходного кода</w:t>
            </w:r>
          </w:p>
        </w:tc>
      </w:tr>
    </w:tbl>
    <w:p>
      <w:pPr>
        <w:spacing w:after="0"/>
        <w:ind w:firstLine="0"/>
      </w:pP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Для multiple-choice частичный балл при включении: </w:t>
      </w:r>
      <w:r>
        <w:rPr>
          <w:rFonts w:ascii="Times New Roman" w:hAnsi="Times New Roman" w:eastAsia="Times New Roman" w:cs="Times New Roman"/>
          <w:color w:val="000000"/>
          <w:u w:val="none"/>
        </w:rPr>
        <w:t>max(0, (верно выбранные − неверно выбранные) / количество ключей) × 100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Иначе нужен точный набор. Numeric использует максимальную абсолютную/относительную погрешность. Итог банка — взвешенное среднее по </w:t>
      </w:r>
      <w:r>
        <w:rPr>
          <w:rFonts w:ascii="Times New Roman" w:hAnsi="Times New Roman" w:eastAsia="Times New Roman" w:cs="Times New Roman"/>
          <w:color w:val="000000"/>
          <w:u w:val="none"/>
        </w:rPr>
        <w:t>weight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незавершённые задачи пока вносят 0 в число score, поэтому ориентируйтесь также на </w:t>
      </w:r>
      <w:r>
        <w:rPr>
          <w:rFonts w:ascii="Times New Roman" w:hAnsi="Times New Roman" w:eastAsia="Times New Roman" w:cs="Times New Roman"/>
          <w:color w:val="000000"/>
          <w:u w:val="none"/>
        </w:rPr>
        <w:t>completed/pending_count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POST /company/bank-imports/dry-run?filename=...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принимает raw bytes, рекомендуемый </w:t>
      </w:r>
      <w:r>
        <w:rPr>
          <w:rFonts w:ascii="Times New Roman" w:hAnsi="Times New Roman" w:eastAsia="Times New Roman" w:cs="Times New Roman"/>
          <w:color w:val="000000"/>
          <w:u w:val="none"/>
        </w:rPr>
        <w:t>Content-Type: application/octet-stream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Расширение </w:t>
      </w:r>
      <w:r>
        <w:rPr>
          <w:rFonts w:ascii="Times New Roman" w:hAnsi="Times New Roman" w:eastAsia="Times New Roman" w:cs="Times New Roman"/>
          <w:color w:val="000000"/>
          <w:u w:val="none"/>
        </w:rPr>
        <w:t>filename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определяет парсер; multipart не используется. До 2 MiB, filename ≤200 символов. </w:t>
      </w:r>
      <w:r>
        <w:rPr>
          <w:rFonts w:ascii="Times New Roman" w:hAnsi="Times New Roman" w:eastAsia="Times New Roman" w:cs="Times New Roman"/>
          <w:color w:val="000000"/>
          <w:u w:val="none"/>
        </w:rPr>
        <w:t>column_mapping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query-параметр с URL-encoded JSON объектом «исходная колонка → каноническая» только для CSV; пустое значение пропускает колонку. Неизвестные/повторные соответствия запрещены.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Ответ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200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u w:val="none"/>
        </w:rPr>
        <w:t>ImportView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u w:val="none"/>
        </w:rPr>
        <w:t>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valid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errors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warnings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preview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duplicate_bank_id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publication_errors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Ошибка файла, включая неизвестное расширение, отражается </w:t>
      </w:r>
      <w:r>
        <w:rPr>
          <w:rFonts w:ascii="Times New Roman" w:hAnsi="Times New Roman" w:eastAsia="Times New Roman" w:cs="Times New Roman"/>
          <w:color w:val="000000"/>
          <w:u w:val="none"/>
        </w:rPr>
        <w:t>valid:false/errors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не обязательно HTTP-ошибкой. Сам dry-run сохраняет историю проверки, но не создаёт банк. </w:t>
      </w:r>
      <w:r>
        <w:rPr>
          <w:rFonts w:ascii="Times New Roman" w:hAnsi="Times New Roman" w:eastAsia="Times New Roman" w:cs="Times New Roman"/>
          <w:color w:val="000000"/>
          <w:u w:val="none"/>
        </w:rPr>
        <w:t>valid:true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означает валидный draft, а не готовность публикации: проверяйте </w:t>
      </w:r>
      <w:r>
        <w:rPr>
          <w:rFonts w:ascii="Times New Roman" w:hAnsi="Times New Roman" w:eastAsia="Times New Roman" w:cs="Times New Roman"/>
          <w:color w:val="000000"/>
          <w:u w:val="none"/>
        </w:rPr>
        <w:t>publication_errors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Неверный JSON mapping/параметры — 422; поток больше лимита — 413. Разбор нового файла выполняется вне event loop: одновременно допускаются два импорта в процессе API, не более десяти за минуту на владельца. При исчерпании допуска или квоты — 429 и </w:t>
      </w:r>
      <w:r>
        <w:rPr>
          <w:rFonts w:ascii="Times New Roman" w:hAnsi="Times New Roman" w:eastAsia="Times New Roman" w:cs="Times New Roman"/>
          <w:color w:val="000000"/>
          <w:u w:val="none"/>
        </w:rPr>
        <w:t>Retry-After: 60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Повтор своего уже проверенного файла использует cache без нового разбора. Лимиты PDF (CPU, память, страницы и timeout) сохраняются. </w:t>
      </w:r>
      <w:r>
        <w:rPr>
          <w:rFonts w:ascii="Times New Roman" w:hAnsi="Times New Roman" w:eastAsia="Times New Roman" w:cs="Times New Roman"/>
          <w:color w:val="000000"/>
          <w:u w:val="none"/>
        </w:rPr>
        <w:t>POST .../{import_id}/confirm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создаёт draft атомарно; чужой import — 404, ошибочный — 422; одинаковое подтверждение не создаёт второй банк/версию. Повторный документ для своего </w:t>
      </w:r>
      <w:r>
        <w:rPr>
          <w:rFonts w:ascii="Times New Roman" w:hAnsi="Times New Roman" w:eastAsia="Times New Roman" w:cs="Times New Roman"/>
          <w:color w:val="000000"/>
          <w:u w:val="none"/>
        </w:rPr>
        <w:t>external_id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создаёт следующую draft-версию. Файл, расширение и mapping входят в идемпотентность dry-run.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JSON/ZIP сохраняют полный авторский документ </w:t>
      </w:r>
      <w:r>
        <w:rPr>
          <w:rFonts w:ascii="Times New Roman" w:hAnsi="Times New Roman" w:eastAsia="Times New Roman" w:cs="Times New Roman"/>
          <w:color w:val="000000"/>
          <w:u w:val="none"/>
        </w:rPr>
        <w:t>fsp-bank-v1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ZIP содержит </w:t>
      </w:r>
      <w:r>
        <w:rPr>
          <w:rFonts w:ascii="Times New Roman" w:hAnsi="Times New Roman" w:eastAsia="Times New Roman" w:cs="Times New Roman"/>
          <w:color w:val="000000"/>
          <w:u w:val="none"/>
        </w:rPr>
        <w:t>manifest.json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опциональные текстовые starter-файлы, до 50 файлов/4 MiB распакованного размера; traversal, symlinks, шифрование и опасная упаковка запрещены. CSV — UTF-8/BOM, выборы/числа; PDF/DOCX извлекают лишь текст в неполный черновик, без придуманных навыков/ключей/рубрик. Текстовые PDF — до 30 страниц, без OCR. Полная схема, CSV-поля/экранирование формул и файлы: </w:t>
      </w:r>
      <w:hyperlink r:id="rId16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requirements/examples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GET </w:t>
      </w:r>
      <w:r>
        <w:rPr>
          <w:rFonts w:ascii="Times New Roman" w:hAnsi="Times New Roman" w:eastAsia="Times New Roman" w:cs="Times New Roman"/>
          <w:color w:val="000000"/>
          <w:u w:val="none"/>
        </w:rPr>
        <w:t>/company/banks/{id}/export?format=json|csv|zip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экспортирует последнюю версию своего банка, включая авторские ключи. JSON → </w:t>
      </w:r>
      <w:r>
        <w:rPr>
          <w:rFonts w:ascii="Times New Roman" w:hAnsi="Times New Roman" w:eastAsia="Times New Roman" w:cs="Times New Roman"/>
          <w:color w:val="000000"/>
          <w:u w:val="none"/>
        </w:rPr>
        <w:t>BankDocument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CSV → </w:t>
      </w:r>
      <w:r>
        <w:rPr>
          <w:rFonts w:ascii="Times New Roman" w:hAnsi="Times New Roman" w:eastAsia="Times New Roman" w:cs="Times New Roman"/>
          <w:color w:val="000000"/>
          <w:u w:val="none"/>
        </w:rPr>
        <w:t>text/csv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ZIP → </w:t>
      </w:r>
      <w:r>
        <w:rPr>
          <w:rFonts w:ascii="Times New Roman" w:hAnsi="Times New Roman" w:eastAsia="Times New Roman" w:cs="Times New Roman"/>
          <w:color w:val="000000"/>
          <w:u w:val="none"/>
        </w:rPr>
        <w:t>application/zip</w:t>
      </w:r>
      <w:r>
        <w:rPr>
          <w:rFonts w:ascii="Times New Roman" w:hAnsi="Times New Roman" w:eastAsia="Times New Roman" w:cs="Times New Roman"/>
          <w:color w:val="000000"/>
          <w:u w:val="none"/>
        </w:rPr>
        <w:t>. CSV сложного/open/code банка — 422; используйте JSON/ZIP. Этот export не доступен кандидату.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9. Выполнение банка и очередь VM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Кандидатский GET </w:t>
      </w:r>
      <w:r>
        <w:rPr>
          <w:rFonts w:ascii="Times New Roman" w:hAnsi="Times New Roman" w:eastAsia="Times New Roman" w:cs="Times New Roman"/>
          <w:color w:val="000000"/>
          <w:u w:val="none"/>
        </w:rPr>
        <w:t>/candidate/banks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показывает последнюю опубликованную версию каждого банка. Start принимает </w:t>
      </w:r>
      <w:r>
        <w:rPr>
          <w:rFonts w:ascii="Times New Roman" w:hAnsi="Times New Roman" w:eastAsia="Times New Roman" w:cs="Times New Roman"/>
          <w:color w:val="000000"/>
          <w:u w:val="none"/>
        </w:rPr>
        <w:t>version_id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возвращает одну попытку кандидата на эту версию с 201; повтор start возвращает прежнюю, не сбрасывает время. PATCH попытки передаёт весь </w:t>
      </w:r>
      <w:r>
        <w:rPr>
          <w:rFonts w:ascii="Times New Roman" w:hAnsi="Times New Roman" w:eastAsia="Times New Roman" w:cs="Times New Roman"/>
          <w:color w:val="000000"/>
          <w:u w:val="none"/>
        </w:rPr>
        <w:t>answers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плюс </w:t>
      </w:r>
      <w:r>
        <w:rPr>
          <w:rFonts w:ascii="Times New Roman" w:hAnsi="Times New Roman" w:eastAsia="Times New Roman" w:cs="Times New Roman"/>
          <w:color w:val="000000"/>
          <w:u w:val="none"/>
        </w:rPr>
        <w:t>revision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Deadline определяется сервером из лимита версии; после срока новые ответы не принимаются. Submit принимает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только revision</w:t>
      </w:r>
      <w:r>
        <w:rPr>
          <w:rFonts w:ascii="Times New Roman" w:hAnsi="Times New Roman" w:eastAsia="Times New Roman" w:cs="Times New Roman"/>
          <w:color w:val="000000"/>
          <w:u w:val="none"/>
        </w:rPr>
        <w:t>, оценивает уже сохранённые ответы. После deadline submit также оценивает только ранее сохранённые данные. Это отличается от первичной оценки, где submit принимает answers.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AttemptPublic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ID/revision/status/deadline, неизменная кандидатская версия, свои answers, result, alias. Status: </w:t>
      </w:r>
      <w:r>
        <w:rPr>
          <w:rFonts w:ascii="Times New Roman" w:hAnsi="Times New Roman" w:eastAsia="Times New Roman" w:cs="Times New Roman"/>
          <w:color w:val="000000"/>
          <w:u w:val="none"/>
        </w:rPr>
        <w:t>in_progress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pending_review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completed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u w:val="none"/>
        </w:rPr>
        <w:t>AttemptResult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score, </w:t>
      </w:r>
      <w:r>
        <w:rPr>
          <w:rFonts w:ascii="Times New Roman" w:hAnsi="Times New Roman" w:eastAsia="Times New Roman" w:cs="Times New Roman"/>
          <w:color w:val="000000"/>
          <w:u w:val="none"/>
        </w:rPr>
        <w:t>pending_count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completed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task-results, </w:t>
      </w:r>
      <w:r>
        <w:rPr>
          <w:rFonts w:ascii="Times New Roman" w:hAnsi="Times New Roman" w:eastAsia="Times New Roman" w:cs="Times New Roman"/>
          <w:color w:val="000000"/>
          <w:u w:val="none"/>
        </w:rPr>
        <w:t>scope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`grade_effect:false`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scorer_version=bank-v1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Task-result имеет </w:t>
      </w:r>
      <w:r>
        <w:rPr>
          <w:rFonts w:ascii="Times New Roman" w:hAnsi="Times New Roman" w:eastAsia="Times New Roman" w:cs="Times New Roman"/>
          <w:color w:val="000000"/>
          <w:u w:val="none"/>
        </w:rPr>
        <w:t>score:null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u w:val="none"/>
        </w:rPr>
        <w:t>pending_review/pending_code</w:t>
      </w:r>
      <w:r>
        <w:rPr>
          <w:rFonts w:ascii="Times New Roman" w:hAnsi="Times New Roman" w:eastAsia="Times New Roman" w:cs="Times New Roman"/>
          <w:color w:val="000000"/>
          <w:u w:val="none"/>
        </w:rPr>
        <w:t>, пока результата нет. Открытый ответ проверяет только владелец банка после submit; rubric доступна кандидату, ключи/hidden tests — нет. Ручной score 0–100, feedback 2–4000 символов; одинаковый повтор идемпотентен, изменение зафиксированной review — 409.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POST </w:t>
      </w:r>
      <w:r>
        <w:rPr>
          <w:rFonts w:ascii="Times New Roman" w:hAnsi="Times New Roman" w:eastAsia="Times New Roman" w:cs="Times New Roman"/>
          <w:color w:val="000000"/>
          <w:u w:val="none"/>
        </w:rPr>
        <w:t>.../code-jobs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принимает </w:t>
      </w:r>
      <w:r>
        <w:rPr>
          <w:rFonts w:ascii="Times New Roman" w:hAnsi="Times New Roman" w:eastAsia="Times New Roman" w:cs="Times New Roman"/>
          <w:color w:val="000000"/>
          <w:u w:val="none"/>
        </w:rPr>
        <w:t>task_id/source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Ответ 201 </w:t>
      </w:r>
      <w:r>
        <w:rPr>
          <w:rFonts w:ascii="Times New Roman" w:hAnsi="Times New Roman" w:eastAsia="Times New Roman" w:cs="Times New Roman"/>
          <w:color w:val="000000"/>
          <w:u w:val="none"/>
        </w:rPr>
        <w:t>CodeJobView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u w:val="none"/>
        </w:rPr>
        <w:t>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task_id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status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execution_status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result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error_code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даты. Status очереди: </w:t>
      </w:r>
      <w:r>
        <w:rPr>
          <w:rFonts w:ascii="Times New Roman" w:hAnsi="Times New Roman" w:eastAsia="Times New Roman" w:cs="Times New Roman"/>
          <w:color w:val="000000"/>
          <w:u w:val="none"/>
        </w:rPr>
        <w:t>queued/running/completed/failed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execution-status: </w:t>
      </w:r>
      <w:r>
        <w:rPr>
          <w:rFonts w:ascii="Times New Roman" w:hAnsi="Times New Roman" w:eastAsia="Times New Roman" w:cs="Times New Roman"/>
          <w:color w:val="000000"/>
          <w:u w:val="none"/>
        </w:rPr>
        <w:t>passed/wrong_answer/timeout/runtime_error/system_error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u w:val="none"/>
        </w:rPr>
        <w:t>result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содержит </w:t>
      </w:r>
      <w:r>
        <w:rPr>
          <w:rFonts w:ascii="Times New Roman" w:hAnsi="Times New Roman" w:eastAsia="Times New Roman" w:cs="Times New Roman"/>
          <w:color w:val="000000"/>
          <w:u w:val="none"/>
        </w:rPr>
        <w:t>passed_tests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total_tests</w:t>
      </w:r>
      <w:r>
        <w:rPr>
          <w:rFonts w:ascii="Times New Roman" w:hAnsi="Times New Roman" w:eastAsia="Times New Roman" w:cs="Times New Roman"/>
          <w:color w:val="000000"/>
          <w:u w:val="none"/>
        </w:rPr>
        <w:t>, score, runtime</w:t>
      </w:r>
      <w:r>
        <w:rPr>
          <w:rFonts w:ascii="Times New Roman" w:hAnsi="Times New Roman" w:eastAsia="Times New Roman" w:cs="Times New Roman"/>
          <w:i/>
          <w:color w:val="000000"/>
          <w:u w:val="none"/>
        </w:rPr>
        <w:t>version, duration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ms и status; stdout/fixtures/lease/source не выдаются кандидату. Статус запрашивается GET по job ID в своей попытке. Повтор источника возвращает имеющийся job, если он не failed. До submit — 10 предварительных jobs, после submit — не более 20 суммарно; публикация допускает максимум 10 code задач. Одновременно допускается один активный предварительный job на попытку. Финальный submit резервирует исполнения всех сохранённых code-ответов. После submit можно повторить лишь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точно тот же сохранённый source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Код исполняется отдельным Docker worker в одноразовой Linux VM, не в API. Языки </w:t>
      </w:r>
      <w:r>
        <w:rPr>
          <w:rFonts w:ascii="Times New Roman" w:hAnsi="Times New Roman" w:eastAsia="Times New Roman" w:cs="Times New Roman"/>
          <w:color w:val="000000"/>
          <w:u w:val="none"/>
        </w:rPr>
        <w:t>python/javascript/sql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SQL —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SQLite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один SELECT над fixture, не PostgreSQL. Python/JS получают stdin, stdout сравнивается с эталоном; SQL возвращает упорядоченные строки. VM фиксированно 512 MiB; </w:t>
      </w:r>
      <w:r>
        <w:rPr>
          <w:rFonts w:ascii="Times New Roman" w:hAnsi="Times New Roman" w:eastAsia="Times New Roman" w:cs="Times New Roman"/>
          <w:color w:val="000000"/>
          <w:u w:val="none"/>
        </w:rPr>
        <w:t>memory_mb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принимает только 512. Поле </w:t>
      </w:r>
      <w:r>
        <w:rPr>
          <w:rFonts w:ascii="Times New Roman" w:hAnsi="Times New Roman" w:eastAsia="Times New Roman" w:cs="Times New Roman"/>
          <w:color w:val="000000"/>
          <w:u w:val="none"/>
        </w:rPr>
        <w:t>wall_seconds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(1–3) исторически названо так, но задаёт CPU-бюджет KVM; явный TCG использует обозначенный множитель ×10. Код/шаблон ≤32768 UTF-8 bytes, вход ≤16384, setup ≤32768, вывод ≤64 KiB; скрытых cases ≤10 и суммарный JSON-бюджет ≤750000 bytes. Точные VM/host ограничения и версии — </w:t>
      </w:r>
      <w:hyperlink r:id="rId14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актуальное руководство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Инфраструктурный сбой остаётся </w:t>
      </w:r>
      <w:r>
        <w:rPr>
          <w:rFonts w:ascii="Times New Roman" w:hAnsi="Times New Roman" w:eastAsia="Times New Roman" w:cs="Times New Roman"/>
          <w:color w:val="000000"/>
          <w:u w:val="none"/>
        </w:rPr>
        <w:t>pending_code</w:t>
      </w:r>
      <w:r>
        <w:rPr>
          <w:rFonts w:ascii="Times New Roman" w:hAnsi="Times New Roman" w:eastAsia="Times New Roman" w:cs="Times New Roman"/>
          <w:color w:val="000000"/>
          <w:u w:val="none"/>
        </w:rPr>
        <w:t>, а не неправильным ответом. Lease истекает через 900 секунд, предусмотрен один автоматический retry; затем допустим ограниченный повтор кандидатом с frozen source. Наличие runner-ключа проверяется при ручном enqueue; отсутствие даёт 503. При остановленном worker уже созданный queued job ожидает восстановления.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Внутренние </w:t>
      </w:r>
      <w:r>
        <w:rPr>
          <w:rFonts w:ascii="Times New Roman" w:hAnsi="Times New Roman" w:eastAsia="Times New Roman" w:cs="Times New Roman"/>
          <w:color w:val="000000"/>
          <w:u w:val="none"/>
        </w:rPr>
        <w:t>/internal/runner/*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предназначены worker, не браузерному клиенту. Используют </w:t>
      </w:r>
      <w:r>
        <w:rPr>
          <w:rFonts w:ascii="Times New Roman" w:hAnsi="Times New Roman" w:eastAsia="Times New Roman" w:cs="Times New Roman"/>
          <w:color w:val="000000"/>
          <w:u w:val="none"/>
        </w:rPr>
        <w:t>Authorization: Bearer &lt;локально настроенный ключ&gt;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не cookie/CSRF. Claim возвращает </w:t>
      </w:r>
      <w:r>
        <w:rPr>
          <w:rFonts w:ascii="Times New Roman" w:hAnsi="Times New Roman" w:eastAsia="Times New Roman" w:cs="Times New Roman"/>
          <w:color w:val="000000"/>
          <w:u w:val="none"/>
        </w:rPr>
        <w:t>{ "job": null }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либо job с </w:t>
      </w:r>
      <w:r>
        <w:rPr>
          <w:rFonts w:ascii="Times New Roman" w:hAnsi="Times New Roman" w:eastAsia="Times New Roman" w:cs="Times New Roman"/>
          <w:color w:val="000000"/>
          <w:u w:val="none"/>
        </w:rPr>
        <w:t>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lease_token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language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source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tests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u w:val="none"/>
        </w:rPr>
        <w:t>stdin/setup/expected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), </w:t>
      </w:r>
      <w:r>
        <w:rPr>
          <w:rFonts w:ascii="Times New Roman" w:hAnsi="Times New Roman" w:eastAsia="Times New Roman" w:cs="Times New Roman"/>
          <w:color w:val="000000"/>
          <w:u w:val="none"/>
        </w:rPr>
        <w:t>time_limit_seconds</w:t>
      </w:r>
      <w:r>
        <w:rPr>
          <w:rFonts w:ascii="Times New Roman" w:hAnsi="Times New Roman" w:eastAsia="Times New Roman" w:cs="Times New Roman"/>
          <w:color w:val="000000"/>
          <w:u w:val="none"/>
        </w:rPr>
        <w:t>. Result принимает lease</w:t>
      </w:r>
      <w:r>
        <w:rPr>
          <w:rFonts w:ascii="Times New Roman" w:hAnsi="Times New Roman" w:eastAsia="Times New Roman" w:cs="Times New Roman"/>
          <w:i/>
          <w:color w:val="000000"/>
          <w:u w:val="none"/>
        </w:rPr>
        <w:t>token, status, passed, total, duration</w:t>
      </w:r>
      <w:r>
        <w:rPr>
          <w:rFonts w:ascii="Times New Roman" w:hAnsi="Times New Roman" w:eastAsia="Times New Roman" w:cs="Times New Roman"/>
          <w:color w:val="000000"/>
          <w:u w:val="none"/>
        </w:rPr>
        <w:t>ms, runtime</w:t>
      </w:r>
      <w:r>
        <w:rPr>
          <w:rFonts w:ascii="Times New Roman" w:hAnsi="Times New Roman" w:eastAsia="Times New Roman" w:cs="Times New Roman"/>
          <w:i/>
          <w:color w:val="000000"/>
          <w:u w:val="none"/>
        </w:rPr>
        <w:t>version и необязательный enum error</w:t>
      </w:r>
      <w:r>
        <w:rPr>
          <w:rFonts w:ascii="Times New Roman" w:hAnsi="Times New Roman" w:eastAsia="Times New Roman" w:cs="Times New Roman"/>
          <w:color w:val="000000"/>
          <w:u w:val="none"/>
        </w:rPr>
        <w:t>code. Истёкший/повторный lease — 409, несоответствие закреплённым cases — 422, неверная авторизация — 403, ненастроенный broker — 503. Полные внутренние поля доступны лишь worker.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10. Ошибки и форматы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Пользовательские входные схемы запрещают неизвестные поля. Строгие целые не принимают bool/float/строковые числа. Время — ISO 8601 UTC. Успешные статусы и схемы каждой операции — в таблице ниже; 204 имеет пустое тело. JSON ответы API идут с </w:t>
      </w:r>
      <w:r>
        <w:rPr>
          <w:rFonts w:ascii="Times New Roman" w:hAnsi="Times New Roman" w:eastAsia="Times New Roman" w:cs="Times New Roman"/>
          <w:color w:val="000000"/>
          <w:u w:val="none"/>
        </w:rPr>
        <w:t>Cache-Control: no-store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обычные ответы содержат </w:t>
      </w:r>
      <w:r>
        <w:rPr>
          <w:rFonts w:ascii="Times New Roman" w:hAnsi="Times New Roman" w:eastAsia="Times New Roman" w:cs="Times New Roman"/>
          <w:color w:val="000000"/>
          <w:u w:val="none"/>
        </w:rPr>
        <w:t>X-Request-ID</w:t>
      </w:r>
      <w:r>
        <w:rPr>
          <w:rFonts w:ascii="Times New Roman" w:hAnsi="Times New Roman" w:eastAsia="Times New Roman" w:cs="Times New Roman"/>
          <w:color w:val="000000"/>
          <w:u w:val="none"/>
        </w:rPr>
        <w:t>. Middleware-ошибка может содержать request_id только в JSON.</w:t>
      </w:r>
    </w:p>
    <w:p>
      <w:pPr>
        <w:pStyle w:val="GOSTCod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{"code":"http_409","message":"Ответы изменены в другой вкладке; загрузите сохранённую попытку","request_id":"&lt;id запроса&gt;"}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Это пример формы ошибки; message зависит от конкретного обработчика. Ошибка валидации имеет </w:t>
      </w:r>
      <w:r>
        <w:rPr>
          <w:rFonts w:ascii="Times New Roman" w:hAnsi="Times New Roman" w:eastAsia="Times New Roman" w:cs="Times New Roman"/>
          <w:color w:val="000000"/>
          <w:u w:val="none"/>
        </w:rPr>
        <w:t>code=validation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message</w:t>
      </w:r>
      <w:r>
        <w:rPr>
          <w:rFonts w:ascii="Times New Roman" w:hAnsi="Times New Roman" w:eastAsia="Times New Roman" w:cs="Times New Roman"/>
          <w:color w:val="000000"/>
          <w:u w:val="none"/>
        </w:rPr>
        <w:t>, request</w:t>
      </w:r>
      <w:r>
        <w:rPr>
          <w:rFonts w:ascii="Times New Roman" w:hAnsi="Times New Roman" w:eastAsia="Times New Roman" w:cs="Times New Roman"/>
          <w:i/>
          <w:color w:val="000000"/>
          <w:u w:val="none"/>
        </w:rPr>
        <w:t>id и `details` с `field/message`. Origin даёт `origin</w:t>
      </w:r>
      <w:r>
        <w:rPr>
          <w:rFonts w:ascii="Times New Roman" w:hAnsi="Times New Roman" w:eastAsia="Times New Roman" w:cs="Times New Roman"/>
          <w:color w:val="000000"/>
          <w:u w:val="none"/>
        </w:rPr>
        <w:t>forbidden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auth quota — </w:t>
      </w:r>
      <w:r>
        <w:rPr>
          <w:rFonts w:ascii="Times New Roman" w:hAnsi="Times New Roman" w:eastAsia="Times New Roman" w:cs="Times New Roman"/>
          <w:color w:val="000000"/>
          <w:u w:val="none"/>
        </w:rPr>
        <w:t>rate_limit`.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3.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3 — Ошибки и форматы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 w:val="true"/>
        </w:trPr>
        <w:tc>
          <w:tcPr>
            <w:tcW w:type="dxa" w:w="133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Статус</w:t>
            </w:r>
          </w:p>
        </w:tc>
        <w:tc>
          <w:tcPr>
            <w:tcW w:type="dxa" w:w="801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Практический смысл</w:t>
            </w:r>
          </w:p>
        </w:tc>
      </w:tr>
      <w:tr>
        <w:trPr>
          <w:cantSplit/>
        </w:trPr>
        <w:tc>
          <w:tcPr>
            <w:tcW w:type="dxa" w:w="133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401</w:t>
            </w:r>
          </w:p>
        </w:tc>
        <w:tc>
          <w:tcPr>
            <w:tcW w:type="dxa" w:w="801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нет действующей сессии/подтверждения; неправильный пароль</w:t>
            </w:r>
          </w:p>
        </w:tc>
      </w:tr>
      <w:tr>
        <w:trPr>
          <w:cantSplit/>
        </w:trPr>
        <w:tc>
          <w:tcPr>
            <w:tcW w:type="dxa" w:w="133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403</w:t>
            </w:r>
          </w:p>
        </w:tc>
        <w:tc>
          <w:tcPr>
            <w:tcW w:type="dxa" w:w="801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роль, CSRF, Origin или worker Bearer не разрешены</w:t>
            </w:r>
          </w:p>
        </w:tc>
      </w:tr>
      <w:tr>
        <w:trPr>
          <w:cantSplit/>
        </w:trPr>
        <w:tc>
          <w:tcPr>
            <w:tcW w:type="dxa" w:w="133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404</w:t>
            </w:r>
          </w:p>
        </w:tc>
        <w:tc>
          <w:tcPr>
            <w:tcW w:type="dxa" w:w="801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отсутствующая/чужая запись либо неподходящая опубликованная сущность</w:t>
            </w:r>
          </w:p>
        </w:tc>
      </w:tr>
      <w:tr>
        <w:trPr>
          <w:cantSplit/>
        </w:trPr>
        <w:tc>
          <w:tcPr>
            <w:tcW w:type="dxa" w:w="133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409</w:t>
            </w:r>
          </w:p>
        </w:tc>
        <w:tc>
          <w:tcPr>
            <w:tcW w:type="dxa" w:w="801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конфликт revision/version, terminal state, дедлайн/cooldown или idempotency</w:t>
            </w:r>
          </w:p>
        </w:tc>
      </w:tr>
      <w:tr>
        <w:trPr>
          <w:cantSplit/>
        </w:trPr>
        <w:tc>
          <w:tcPr>
            <w:tcW w:type="dxa" w:w="133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413</w:t>
            </w:r>
          </w:p>
        </w:tc>
        <w:tc>
          <w:tcPr>
            <w:tcW w:type="dxa" w:w="801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raw PDF/import превышает 2 MiB</w:t>
            </w:r>
          </w:p>
        </w:tc>
      </w:tr>
      <w:tr>
        <w:trPr>
          <w:cantSplit/>
        </w:trPr>
        <w:tc>
          <w:tcPr>
            <w:tcW w:type="dxa" w:w="133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415</w:t>
            </w:r>
          </w:p>
        </w:tc>
        <w:tc>
          <w:tcPr>
            <w:tcW w:type="dxa" w:w="801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resume-preview требует Content-Type application/pdf</w:t>
            </w:r>
          </w:p>
        </w:tc>
      </w:tr>
      <w:tr>
        <w:trPr>
          <w:cantSplit/>
        </w:trPr>
        <w:tc>
          <w:tcPr>
            <w:tcW w:type="dxa" w:w="133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422</w:t>
            </w:r>
          </w:p>
        </w:tc>
        <w:tc>
          <w:tcPr>
            <w:tcW w:type="dxa" w:w="801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поля/ответы/mapping невалидны; публикация не готова; invalid import confirm; CSV export сложных типов</w:t>
            </w:r>
          </w:p>
        </w:tc>
      </w:tr>
      <w:tr>
        <w:trPr>
          <w:cantSplit/>
        </w:trPr>
        <w:tc>
          <w:tcPr>
            <w:tcW w:type="dxa" w:w="133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429</w:t>
            </w:r>
          </w:p>
        </w:tc>
        <w:tc>
          <w:tcPr>
            <w:tcW w:type="dxa" w:w="801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quota входа или лимит code jobs</w:t>
            </w:r>
          </w:p>
        </w:tc>
      </w:tr>
      <w:tr>
        <w:trPr>
          <w:cantSplit/>
        </w:trPr>
        <w:tc>
          <w:tcPr>
            <w:tcW w:type="dxa" w:w="133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503</w:t>
            </w:r>
          </w:p>
        </w:tc>
        <w:tc>
          <w:tcPr>
            <w:tcW w:type="dxa" w:w="801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компонент не настроен/недоступен в явно предусмотренной обработчиком ветке</w:t>
            </w:r>
          </w:p>
        </w:tc>
      </w:tr>
    </w:tbl>
    <w:p>
      <w:pPr>
        <w:spacing w:after="0"/>
        <w:ind w:firstLine="0"/>
      </w:pPr>
    </w:p>
    <w:p>
      <w:r>
        <w:rPr>
          <w:rFonts w:ascii="Times New Roman" w:hAnsi="Times New Roman" w:eastAsia="Times New Roman" w:cs="Times New Roman"/>
          <w:color w:val="000000"/>
          <w:u w:val="none"/>
        </w:rPr>
        <w:t>OpenAPI описывает общий набор возможных ошибок для операций; это не означает, что каждый путь обязательно имеет каждую ветку. Ошибки файла dry-run обычно возвращаются внутри успешного ImportView. При 409 сначала получите серверную версию и согласуйте свою правку; слепой повтор с новой revision теряет смысл CAS.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11. ФСП ID mock и исходное ТЗ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ТЗ §2 и §4 намеренно не предоставляет внешний API/структуру данных ФСП; Keycloak — ориентир совместимости, не обязательная авторизация MVP. Здесь реализован </w:t>
      </w:r>
      <w:r>
        <w:rPr>
          <w:rFonts w:ascii="Times New Roman" w:hAnsi="Times New Roman" w:eastAsia="Times New Roman" w:cs="Times New Roman"/>
          <w:b/>
          <w:color w:val="000000"/>
          <w:u w:val="none"/>
        </w:rPr>
        <w:t>локальный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OIDC mock authorization code + PKCE S256, а не внешний вход. Путь кандидата: с пользовательской сессией открыть </w:t>
      </w:r>
      <w:r>
        <w:rPr>
          <w:rFonts w:ascii="Times New Roman" w:hAnsi="Times New Roman" w:eastAsia="Times New Roman" w:cs="Times New Roman"/>
          <w:color w:val="000000"/>
          <w:u w:val="none"/>
        </w:rPr>
        <w:t>GET /candidate/fsp-id/start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(302) → пройти HTML-форму mock ID → callback привяжет synthetic </w:t>
      </w:r>
      <w:r>
        <w:rPr>
          <w:rFonts w:ascii="Times New Roman" w:hAnsi="Times New Roman" w:eastAsia="Times New Roman" w:cs="Times New Roman"/>
          <w:color w:val="000000"/>
          <w:u w:val="none"/>
        </w:rPr>
        <w:t>sub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 загрузит demo-события. Discovery доступен локально по </w:t>
      </w:r>
      <w:r>
        <w:rPr>
          <w:rFonts w:ascii="Times New Roman" w:hAnsi="Times New Roman" w:eastAsia="Times New Roman" w:cs="Times New Roman"/>
          <w:color w:val="000000"/>
          <w:u w:val="none"/>
        </w:rPr>
        <w:t>/auth/mock-fsp-id/.well-known/openid-configuration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</w:t>
      </w:r>
      <w:r>
        <w:rPr>
          <w:rFonts w:ascii="Times New Roman" w:hAnsi="Times New Roman" w:eastAsia="Times New Roman" w:cs="Times New Roman"/>
          <w:color w:val="000000"/>
          <w:u w:val="none"/>
        </w:rPr>
        <w:t>authorize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принимает только заранее созданные state, client</w:t>
      </w:r>
      <w:r>
        <w:rPr>
          <w:rFonts w:ascii="Times New Roman" w:hAnsi="Times New Roman" w:eastAsia="Times New Roman" w:cs="Times New Roman"/>
          <w:i/>
          <w:color w:val="000000"/>
          <w:u w:val="none"/>
        </w:rPr>
        <w:t>id и callback, `token` принимает `FspToken` (`grant</w:t>
      </w:r>
      <w:r>
        <w:rPr>
          <w:rFonts w:ascii="Times New Roman" w:hAnsi="Times New Roman" w:eastAsia="Times New Roman" w:cs="Times New Roman"/>
          <w:color w:val="000000"/>
          <w:u w:val="none"/>
        </w:rPr>
        <w:t>type=authorization</w:t>
      </w:r>
      <w:r>
        <w:rPr>
          <w:rFonts w:ascii="Times New Roman" w:hAnsi="Times New Roman" w:eastAsia="Times New Roman" w:cs="Times New Roman"/>
          <w:i/>
          <w:color w:val="000000"/>
          <w:u w:val="none"/>
        </w:rPr>
        <w:t>code`, `client</w:t>
      </w:r>
      <w:r>
        <w:rPr>
          <w:rFonts w:ascii="Times New Roman" w:hAnsi="Times New Roman" w:eastAsia="Times New Roman" w:cs="Times New Roman"/>
          <w:color w:val="000000"/>
          <w:u w:val="none"/>
        </w:rPr>
        <w:t>id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code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code_verifier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) и возвращает </w:t>
      </w:r>
      <w:r>
        <w:rPr>
          <w:rFonts w:ascii="Times New Roman" w:hAnsi="Times New Roman" w:eastAsia="Times New Roman" w:cs="Times New Roman"/>
          <w:color w:val="000000"/>
          <w:u w:val="none"/>
        </w:rPr>
        <w:t>FspTokenOut`, без access token.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После callback профиль получает </w:t>
      </w:r>
      <w:r>
        <w:rPr>
          <w:rFonts w:ascii="Times New Roman" w:hAnsi="Times New Roman" w:eastAsia="Times New Roman" w:cs="Times New Roman"/>
          <w:color w:val="000000"/>
          <w:u w:val="none"/>
        </w:rPr>
        <w:t>none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linked-empty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verified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или </w:t>
      </w:r>
      <w:r>
        <w:rPr>
          <w:rFonts w:ascii="Times New Roman" w:hAnsi="Times New Roman" w:eastAsia="Times New Roman" w:cs="Times New Roman"/>
          <w:color w:val="000000"/>
          <w:u w:val="none"/>
        </w:rPr>
        <w:t>unavailable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; отсутствие истории не блокирует оценку или публикацию. </w:t>
      </w:r>
      <w:r>
        <w:rPr>
          <w:rFonts w:ascii="Times New Roman" w:hAnsi="Times New Roman" w:eastAsia="Times New Roman" w:cs="Times New Roman"/>
          <w:color w:val="000000"/>
          <w:u w:val="none"/>
        </w:rPr>
        <w:t>DELETE /candidate/fsp-link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отвязывает mock ID и возвращает </w:t>
      </w:r>
      <w:r>
        <w:rPr>
          <w:rFonts w:ascii="Times New Roman" w:hAnsi="Times New Roman" w:eastAsia="Times New Roman" w:cs="Times New Roman"/>
          <w:color w:val="000000"/>
          <w:u w:val="none"/>
        </w:rPr>
        <w:t>FspLinkView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u w:val="none"/>
        </w:rPr>
        <w:t>state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previous_state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signal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demo</w:t>
      </w:r>
      <w:r>
        <w:rPr>
          <w:rFonts w:ascii="Times New Roman" w:hAnsi="Times New Roman" w:eastAsia="Times New Roman" w:cs="Times New Roman"/>
          <w:color w:val="000000"/>
          <w:u w:val="none"/>
        </w:rPr>
        <w:t>). Member ID не выдаётся работодателю в поиске. Этот mock не проверяет внешнюю личность и не присваивает подтверждённый грейд.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Официальный публичный OIDC discovery ФСП ID исследован отдельно: </w:t>
      </w:r>
      <w:hyperlink r:id="rId15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актуальное руководство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. Сам факт issuer/PKCE не регистрирует наш client и не разрешает получать достижения. В этом сервисе нет внешнего OIDC callback, внешнего token exchange/userinfo или API реестра. Новые внешние пути/поля до получения официального контракта не предполагаются.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12. Полный справочник операций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Таблица сверена с generated OpenAPI. </w:t>
      </w:r>
      <w:r>
        <w:rPr>
          <w:rFonts w:ascii="Times New Roman" w:hAnsi="Times New Roman" w:eastAsia="Times New Roman" w:cs="Times New Roman"/>
          <w:color w:val="000000"/>
          <w:u w:val="none"/>
        </w:rPr>
        <w:t>[]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означает массив выходной схемы, </w:t>
      </w:r>
      <w:r>
        <w:rPr>
          <w:rFonts w:ascii="Times New Roman" w:hAnsi="Times New Roman" w:eastAsia="Times New Roman" w:cs="Times New Roman"/>
          <w:color w:val="000000"/>
          <w:u w:val="none"/>
        </w:rPr>
        <w:t>null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— отсутствие активной формы. Схемы входа — JSON, кроме отмеченных raw файлов; </w:t>
      </w:r>
      <w:r>
        <w:rPr>
          <w:rFonts w:ascii="Times New Roman" w:hAnsi="Times New Roman" w:eastAsia="Times New Roman" w:cs="Times New Roman"/>
          <w:color w:val="000000"/>
          <w:u w:val="none"/>
        </w:rPr>
        <w:t>—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означает отсутствие JSON body. Path ID, query и заголовки описаны выше и полностью заданы OpenAPI. К — кандидат, Р — работодатель, П — публично, С — любая пользовательская сессия, W — внутренний worker. Все операции Р над банками/ответами/подборками проверяют соответствующее владение; операции К над попытками/приглашениями/откликами — собственную запись.</w:t>
      </w: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12.1. Состояние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4.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4 — Состояние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103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142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415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72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103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142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/api/health</w:t>
            </w:r>
          </w:p>
        </w:tc>
        <w:tc>
          <w:tcPr>
            <w:tcW w:type="dxa" w:w="415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 — Проверка API и соединения БД</w:t>
            </w:r>
          </w:p>
        </w:tc>
        <w:tc>
          <w:tcPr>
            <w:tcW w:type="dxa" w:w="272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HealthView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12.2. Mock-идентификация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5.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5 — Mock-идентификация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74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243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346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7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74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43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/api/v1/auth/demo-accounts</w:t>
            </w:r>
          </w:p>
        </w:tc>
        <w:tc>
          <w:tcPr>
            <w:tcW w:type="dxa" w:w="346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 — Список seed-аккаунтов</w:t>
            </w:r>
          </w:p>
        </w:tc>
        <w:tc>
          <w:tcPr>
            <w:tcW w:type="dxa" w:w="27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AccountView[]</w:t>
            </w:r>
          </w:p>
        </w:tc>
      </w:tr>
      <w:tr>
        <w:trPr>
          <w:cantSplit/>
        </w:trPr>
        <w:tc>
          <w:tcPr>
            <w:tcW w:type="dxa" w:w="74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43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/api/v1/auth/demo-login</w:t>
            </w:r>
          </w:p>
        </w:tc>
        <w:tc>
          <w:tcPr>
            <w:tcW w:type="dxa" w:w="346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 — Вход в seed-аккаунт</w:t>
            </w:r>
          </w:p>
        </w:tc>
        <w:tc>
          <w:tcPr>
            <w:tcW w:type="dxa" w:w="27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DemoLogin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SessionView</w:t>
            </w:r>
          </w:p>
        </w:tc>
      </w:tr>
      <w:tr>
        <w:trPr>
          <w:cantSplit/>
        </w:trPr>
        <w:tc>
          <w:tcPr>
            <w:tcW w:type="dxa" w:w="74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43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/api/v1/auth/register</w:t>
            </w:r>
          </w:p>
        </w:tc>
        <w:tc>
          <w:tcPr>
            <w:tcW w:type="dxa" w:w="346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 — Регистрация синтетического адреса</w:t>
            </w:r>
          </w:p>
        </w:tc>
        <w:tc>
          <w:tcPr>
            <w:tcW w:type="dxa" w:w="27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Register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201 / DeliveryView</w:t>
            </w:r>
          </w:p>
        </w:tc>
      </w:tr>
      <w:tr>
        <w:trPr>
          <w:cantSplit/>
        </w:trPr>
        <w:tc>
          <w:tcPr>
            <w:tcW w:type="dxa" w:w="74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43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/api/v1/auth/login</w:t>
            </w:r>
          </w:p>
        </w:tc>
        <w:tc>
          <w:tcPr>
            <w:tcW w:type="dxa" w:w="346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 — Повторная ссылка входа</w:t>
            </w:r>
          </w:p>
        </w:tc>
        <w:tc>
          <w:tcPr>
            <w:tcW w:type="dxa" w:w="27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Email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MessageView</w:t>
            </w:r>
          </w:p>
        </w:tc>
      </w:tr>
      <w:tr>
        <w:trPr>
          <w:cantSplit/>
        </w:trPr>
        <w:tc>
          <w:tcPr>
            <w:tcW w:type="dxa" w:w="74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43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/api/v1/auth/verify</w:t>
            </w:r>
          </w:p>
        </w:tc>
        <w:tc>
          <w:tcPr>
            <w:tcW w:type="dxa" w:w="346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 — Одноразовое подтверждение адреса</w:t>
            </w:r>
          </w:p>
        </w:tc>
        <w:tc>
          <w:tcPr>
            <w:tcW w:type="dxa" w:w="27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Verify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SessionView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12.3. Вход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6.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6 — Вход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68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231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35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83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68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31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/api/v1/auth/password-login</w:t>
            </w:r>
          </w:p>
        </w:tc>
        <w:tc>
          <w:tcPr>
            <w:tcW w:type="dxa" w:w="35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 — Вход с подтверждённым адресом/паролем</w:t>
            </w:r>
          </w:p>
        </w:tc>
        <w:tc>
          <w:tcPr>
            <w:tcW w:type="dxa" w:w="283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PasswordLogin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SessionView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12.4. Mock-почта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7.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7 — Mock-почта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99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27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299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6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99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74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/api/v1/auth/mock-mail</w:t>
            </w:r>
          </w:p>
        </w:tc>
        <w:tc>
          <w:tcPr>
            <w:tcW w:type="dxa" w:w="299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 — Локальная demo-почта</w:t>
            </w:r>
          </w:p>
        </w:tc>
        <w:tc>
          <w:tcPr>
            <w:tcW w:type="dxa" w:w="26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MailView[]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12.5. Сессия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8.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8 — Сессия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102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24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32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69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102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4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/api/v1/me</w:t>
            </w:r>
          </w:p>
        </w:tc>
        <w:tc>
          <w:tcPr>
            <w:tcW w:type="dxa" w:w="32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С — Своя сессия и CSRF</w:t>
            </w:r>
          </w:p>
        </w:tc>
        <w:tc>
          <w:tcPr>
            <w:tcW w:type="dxa" w:w="269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SessionView</w:t>
            </w:r>
          </w:p>
        </w:tc>
      </w:tr>
      <w:tr>
        <w:trPr>
          <w:cantSplit/>
        </w:trPr>
        <w:tc>
          <w:tcPr>
            <w:tcW w:type="dxa" w:w="102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4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/api/v1/auth/logout</w:t>
            </w:r>
          </w:p>
        </w:tc>
        <w:tc>
          <w:tcPr>
            <w:tcW w:type="dxa" w:w="32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С — Завершить свою сессию</w:t>
            </w:r>
          </w:p>
        </w:tc>
        <w:tc>
          <w:tcPr>
            <w:tcW w:type="dxa" w:w="269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204 / —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12.6. Профиль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9.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9 — Профиль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6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241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294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339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6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41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/api/v1/candidate/profile</w:t>
            </w:r>
          </w:p>
        </w:tc>
        <w:tc>
          <w:tcPr>
            <w:tcW w:type="dxa" w:w="294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Полный собственный профиль</w:t>
            </w:r>
          </w:p>
        </w:tc>
        <w:tc>
          <w:tcPr>
            <w:tcW w:type="dxa" w:w="339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CandidateSelfView</w:t>
            </w:r>
          </w:p>
        </w:tc>
      </w:tr>
      <w:tr>
        <w:trPr>
          <w:cantSplit/>
        </w:trPr>
        <w:tc>
          <w:tcPr>
            <w:tcW w:type="dxa" w:w="6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PUT</w:t>
            </w:r>
          </w:p>
        </w:tc>
        <w:tc>
          <w:tcPr>
            <w:tcW w:type="dxa" w:w="241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/api/v1/candidate/profile</w:t>
            </w:r>
          </w:p>
        </w:tc>
        <w:tc>
          <w:tcPr>
            <w:tcW w:type="dxa" w:w="294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Заменить редактируемые поля</w:t>
            </w:r>
          </w:p>
        </w:tc>
        <w:tc>
          <w:tcPr>
            <w:tcW w:type="dxa" w:w="339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ProfileInput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SavedView</w:t>
            </w:r>
          </w:p>
        </w:tc>
      </w:tr>
      <w:tr>
        <w:trPr>
          <w:cantSplit/>
        </w:trPr>
        <w:tc>
          <w:tcPr>
            <w:tcW w:type="dxa" w:w="6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41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/api/v1/candidate/resume-preview</w:t>
            </w:r>
          </w:p>
        </w:tc>
        <w:tc>
          <w:tcPr>
            <w:tcW w:type="dxa" w:w="294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Предпросмотр raw PDF без сохранения</w:t>
            </w:r>
          </w:p>
        </w:tc>
        <w:tc>
          <w:tcPr>
            <w:tcW w:type="dxa" w:w="339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raw application/pdf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ResumePreviewView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12.7. Приватность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10.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10 — Приватность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65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317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26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92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65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17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/api/v1/candidate/consents</w:t>
            </w:r>
          </w:p>
        </w:tc>
        <w:tc>
          <w:tcPr>
            <w:tcW w:type="dxa" w:w="26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Включить/отозвать публикацию</w:t>
            </w:r>
          </w:p>
        </w:tc>
        <w:tc>
          <w:tcPr>
            <w:tcW w:type="dxa" w:w="292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ConsentInput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PublicationView</w:t>
            </w:r>
          </w:p>
        </w:tc>
      </w:tr>
      <w:tr>
        <w:trPr>
          <w:cantSplit/>
        </w:trPr>
        <w:tc>
          <w:tcPr>
            <w:tcW w:type="dxa" w:w="65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DELETE</w:t>
            </w:r>
          </w:p>
        </w:tc>
        <w:tc>
          <w:tcPr>
            <w:tcW w:type="dxa" w:w="317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/api/v1/candidate/contacts/{company_id}</w:t>
            </w:r>
          </w:p>
        </w:tc>
        <w:tc>
          <w:tcPr>
            <w:tcW w:type="dxa" w:w="26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Отозвать контакт компании</w:t>
            </w:r>
          </w:p>
        </w:tc>
        <w:tc>
          <w:tcPr>
            <w:tcW w:type="dxa" w:w="292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204 / —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12.8. Оценка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11.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11 — Оценка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6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35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279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41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6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5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/api/v1/candidate/active-assessment</w:t>
            </w:r>
          </w:p>
        </w:tc>
        <w:tc>
          <w:tcPr>
            <w:tcW w:type="dxa" w:w="279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Активная первичная форма</w:t>
            </w:r>
          </w:p>
        </w:tc>
        <w:tc>
          <w:tcPr>
            <w:tcW w:type="dxa" w:w="241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AttemptView / null</w:t>
            </w:r>
          </w:p>
        </w:tc>
      </w:tr>
      <w:tr>
        <w:trPr>
          <w:cantSplit/>
        </w:trPr>
        <w:tc>
          <w:tcPr>
            <w:tcW w:type="dxa" w:w="6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PUT</w:t>
            </w:r>
          </w:p>
        </w:tc>
        <w:tc>
          <w:tcPr>
            <w:tcW w:type="dxa" w:w="35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/api/v1/assessments/attempts/{attempt_id}/draft</w:t>
            </w:r>
          </w:p>
        </w:tc>
        <w:tc>
          <w:tcPr>
            <w:tcW w:type="dxa" w:w="279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Сохранить draft с CAS</w:t>
            </w:r>
          </w:p>
        </w:tc>
        <w:tc>
          <w:tcPr>
            <w:tcW w:type="dxa" w:w="241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DraftAnswers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AttemptView</w:t>
            </w:r>
          </w:p>
        </w:tc>
      </w:tr>
      <w:tr>
        <w:trPr>
          <w:cantSplit/>
        </w:trPr>
        <w:tc>
          <w:tcPr>
            <w:tcW w:type="dxa" w:w="6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5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/api/v1/candidate/assessment-history</w:t>
            </w:r>
          </w:p>
        </w:tc>
        <w:tc>
          <w:tcPr>
            <w:tcW w:type="dxa" w:w="279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Собственная история оценок/грейда</w:t>
            </w:r>
          </w:p>
        </w:tc>
        <w:tc>
          <w:tcPr>
            <w:tcW w:type="dxa" w:w="241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AssessmentHistoryView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12.9. Демо-оценка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12.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12 — Демо-оценка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4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/api/v1/assessments/attempts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Начать/вернуть первичную форму</w:t>
            </w:r>
          </w:p>
        </w:tc>
        <w:tc>
          <w:tcPr>
            <w:tcW w:type="dxa" w:w="24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AttemptInput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201 / AttemptView</w:t>
            </w:r>
          </w:p>
        </w:tc>
      </w:tr>
      <w:tr>
        <w:trPr>
          <w:cantSplit/>
        </w:trPr>
        <w:tc>
          <w:tcPr>
            <w:tcW w:type="dxa" w:w="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/api/v1/assessments/attempts/{attempt_id}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Своя форма/черновик</w:t>
            </w:r>
          </w:p>
        </w:tc>
        <w:tc>
          <w:tcPr>
            <w:tcW w:type="dxa" w:w="24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AttemptView</w:t>
            </w:r>
          </w:p>
        </w:tc>
      </w:tr>
      <w:tr>
        <w:trPr>
          <w:cantSplit/>
        </w:trPr>
        <w:tc>
          <w:tcPr>
            <w:tcW w:type="dxa" w:w="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/api/v1/assessments/attempts/{attempt_id}/submit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Оценить переданные answers</w:t>
            </w:r>
          </w:p>
        </w:tc>
        <w:tc>
          <w:tcPr>
            <w:tcW w:type="dxa" w:w="24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Answers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AssessmentResultView</w:t>
            </w:r>
          </w:p>
        </w:tc>
      </w:tr>
      <w:tr>
        <w:trPr>
          <w:cantSplit/>
        </w:trPr>
        <w:tc>
          <w:tcPr>
            <w:tcW w:type="dxa" w:w="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/api/v1/assessments/attempts/{attempt_id}/integrity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Передать пакет технических сигналов своей активной формы</w:t>
            </w:r>
          </w:p>
        </w:tc>
        <w:tc>
          <w:tcPr>
            <w:tcW w:type="dxa" w:w="24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IntegrityBatch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202 / IntegrityAck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12.10. ФСП ID mock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13.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13 — ФСП ID mock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49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49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/api/v1/auth/mock-fsp-id/.well-known/openid-configuration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 — Discovery локального OIDC mock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object</w:t>
            </w:r>
          </w:p>
        </w:tc>
      </w:tr>
      <w:tr>
        <w:trPr>
          <w:cantSplit/>
        </w:trPr>
        <w:tc>
          <w:tcPr>
            <w:tcW w:type="dxa" w:w="49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/api/v1/candidate/fsp-id/start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Создать state/PKCE и перенаправить к форме mock ID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302 / HTML authorize</w:t>
            </w:r>
          </w:p>
        </w:tc>
      </w:tr>
      <w:tr>
        <w:trPr>
          <w:cantSplit/>
        </w:trPr>
        <w:tc>
          <w:tcPr>
            <w:tcW w:type="dxa" w:w="49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/api/v1/auth/mock-fsp-id/authorize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 — HTML-форма mock ID для валидного state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query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state,redirect_uri,client_id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HTML / 400 HTML</w:t>
            </w:r>
          </w:p>
        </w:tc>
      </w:tr>
      <w:tr>
        <w:trPr>
          <w:cantSplit/>
        </w:trPr>
        <w:tc>
          <w:tcPr>
            <w:tcW w:type="dxa" w:w="49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/api/v1/auth/mock-fsp-id/authorize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 — Проверить ID/пароль и вернуть одноразовый code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form-urlencoded → 302 callback / 400 HTML</w:t>
            </w:r>
          </w:p>
        </w:tc>
      </w:tr>
      <w:tr>
        <w:trPr>
          <w:cantSplit/>
        </w:trPr>
        <w:tc>
          <w:tcPr>
            <w:tcW w:type="dxa" w:w="49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/api/v1/auth/mock-fsp-id/token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 — Обмен code и verifier локального mock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FspToken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FspTokenOut</w:t>
            </w:r>
          </w:p>
        </w:tc>
      </w:tr>
      <w:tr>
        <w:trPr>
          <w:cantSplit/>
        </w:trPr>
        <w:tc>
          <w:tcPr>
            <w:tcW w:type="dxa" w:w="49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/api/v1/candidate/fsp-id/callback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Закончить привязку только к начавшей сессии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query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code,state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302 privacy</w:t>
            </w:r>
          </w:p>
        </w:tc>
      </w:tr>
      <w:tr>
        <w:trPr>
          <w:cantSplit/>
        </w:trPr>
        <w:tc>
          <w:tcPr>
            <w:tcW w:type="dxa" w:w="49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DELETE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/api/v1/candidate/fsp-link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Отвязать свой ФСП ID mock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FspLinkView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12.11. Подбор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14.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14 — Подбор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4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/api/v1/company/searches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Последние собственные поиски</w:t>
            </w:r>
          </w:p>
        </w:tc>
        <w:tc>
          <w:tcPr>
            <w:tcW w:type="dxa" w:w="24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SearchSnapshotView[]</w:t>
            </w:r>
          </w:p>
        </w:tc>
      </w:tr>
      <w:tr>
        <w:trPr>
          <w:cantSplit/>
        </w:trPr>
        <w:tc>
          <w:tcPr>
            <w:tcW w:type="dxa" w:w="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/api/v1/company/searches/page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Страница полной собственной истории; offset/limit</w:t>
            </w:r>
          </w:p>
        </w:tc>
        <w:tc>
          <w:tcPr>
            <w:tcW w:type="dxa" w:w="24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SearchHistoryPage</w:t>
            </w:r>
          </w:p>
        </w:tc>
      </w:tr>
      <w:tr>
        <w:trPr>
          <w:cantSplit/>
        </w:trPr>
        <w:tc>
          <w:tcPr>
            <w:tcW w:type="dxa" w:w="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/api/v1/company/searches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Новый поиск и snapshot</w:t>
            </w:r>
          </w:p>
        </w:tc>
        <w:tc>
          <w:tcPr>
            <w:tcW w:type="dxa" w:w="24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SearchInput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201 / SearchResultView</w:t>
            </w:r>
          </w:p>
        </w:tc>
      </w:tr>
      <w:tr>
        <w:trPr>
          <w:cantSplit/>
        </w:trPr>
        <w:tc>
          <w:tcPr>
            <w:tcW w:type="dxa" w:w="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/api/v1/company/searches/{search_id}/candidates/{candidate_id}/explanation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Словесное объяснение строки своей подборки</w:t>
            </w:r>
          </w:p>
        </w:tc>
        <w:tc>
          <w:tcPr>
            <w:tcW w:type="dxa" w:w="24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ExplanationOut</w:t>
            </w:r>
          </w:p>
        </w:tc>
      </w:tr>
      <w:tr>
        <w:trPr>
          <w:cantSplit/>
        </w:trPr>
        <w:tc>
          <w:tcPr>
            <w:tcW w:type="dxa" w:w="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/api/v1/company/candidates/{candidate_id}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Разрешённая проекция кандидата</w:t>
            </w:r>
          </w:p>
        </w:tc>
        <w:tc>
          <w:tcPr>
            <w:tcW w:type="dxa" w:w="24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CompanyCandidateView</w:t>
            </w:r>
          </w:p>
        </w:tc>
      </w:tr>
      <w:tr>
        <w:trPr>
          <w:cantSplit/>
        </w:trPr>
        <w:tc>
          <w:tcPr>
            <w:tcW w:type="dxa" w:w="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/api/v1/company/shortlist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Свой shortlist</w:t>
            </w:r>
          </w:p>
        </w:tc>
        <w:tc>
          <w:tcPr>
            <w:tcW w:type="dxa" w:w="24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CandidateView[]</w:t>
            </w:r>
          </w:p>
        </w:tc>
      </w:tr>
      <w:tr>
        <w:trPr>
          <w:cantSplit/>
        </w:trPr>
        <w:tc>
          <w:tcPr>
            <w:tcW w:type="dxa" w:w="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PUT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/api/v1/company/shortlist/{candidate_id}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Добавить опубликованный профиль</w:t>
            </w:r>
          </w:p>
        </w:tc>
        <w:tc>
          <w:tcPr>
            <w:tcW w:type="dxa" w:w="24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204 / —</w:t>
            </w:r>
          </w:p>
        </w:tc>
      </w:tr>
      <w:tr>
        <w:trPr>
          <w:cantSplit/>
        </w:trPr>
        <w:tc>
          <w:tcPr>
            <w:tcW w:type="dxa" w:w="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DELETE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/api/v1/company/shortlist/{candidate_id}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Удалить из своего shortlist</w:t>
            </w:r>
          </w:p>
        </w:tc>
        <w:tc>
          <w:tcPr>
            <w:tcW w:type="dxa" w:w="24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204 / —</w:t>
            </w:r>
          </w:p>
        </w:tc>
      </w:tr>
      <w:tr>
        <w:trPr>
          <w:cantSplit/>
        </w:trPr>
        <w:tc>
          <w:tcPr>
            <w:tcW w:type="dxa" w:w="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/api/v1/company/categories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Опубликованные категории/численность</w:t>
            </w:r>
          </w:p>
        </w:tc>
        <w:tc>
          <w:tcPr>
            <w:tcW w:type="dxa" w:w="24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CategoryView[]</w:t>
            </w:r>
          </w:p>
        </w:tc>
      </w:tr>
      <w:tr>
        <w:trPr>
          <w:cantSplit/>
        </w:trPr>
        <w:tc>
          <w:tcPr>
            <w:tcW w:type="dxa" w:w="53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/api/v1/company/searches/{search_id}</w:t>
            </w:r>
          </w:p>
        </w:tc>
        <w:tc>
          <w:tcPr>
            <w:tcW w:type="dxa" w:w="320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Своя историческая подборка с текущими правами</w:t>
            </w:r>
          </w:p>
        </w:tc>
        <w:tc>
          <w:tcPr>
            <w:tcW w:type="dxa" w:w="240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RestoredSearchView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12.12. Приглашения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15.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15 — Приглашения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56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304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/api/v1/company/invitations</w:t>
            </w:r>
          </w:p>
        </w:tc>
        <w:tc>
          <w:tcPr>
            <w:tcW w:type="dxa" w:w="304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Предложение с зарплатой/idempotency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OfferInput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201 / InvitationView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/api/v1/company/invitations</w:t>
            </w:r>
          </w:p>
        </w:tc>
        <w:tc>
          <w:tcPr>
            <w:tcW w:type="dxa" w:w="304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Свои отправленные предложения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InvitationView[]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/api/v1/candidate/invitations</w:t>
            </w:r>
          </w:p>
        </w:tc>
        <w:tc>
          <w:tcPr>
            <w:tcW w:type="dxa" w:w="304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Свои полученные предложения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InvitationView[]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/api/v1/candidate/invitations/{offer_id}/view</w:t>
            </w:r>
          </w:p>
        </w:tc>
        <w:tc>
          <w:tcPr>
            <w:tcW w:type="dxa" w:w="304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Отметить своё предложение просмотренным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InvitationView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/api/v1/candidate/invitations/{offer_id}/decision</w:t>
            </w:r>
          </w:p>
        </w:tc>
        <w:tc>
          <w:tcPr>
            <w:tcW w:type="dxa" w:w="304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Принять/отклонить своё предложение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Decision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InvitationView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/api/v1/company/invitations/{offer_id}/withdraw</w:t>
            </w:r>
          </w:p>
        </w:tc>
        <w:tc>
          <w:tcPr>
            <w:tcW w:type="dxa" w:w="304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Отозвать своё открытое предложение</w:t>
            </w:r>
          </w:p>
        </w:tc>
        <w:tc>
          <w:tcPr>
            <w:tcW w:type="dxa" w:w="233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InvitationView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12.13. Сообщения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Диалог доступен только при открытом контакте (принятое приглашение либо активный отклик); после отзыва контакта история читается, отправка возвращает 403. Лимит — 20 сообщений в час на отправителя в диалоге (429). Текст хранится как обычный текст, длина 1–2000 символов. Чтение не меняет данные; прочитанность отмечает отдельный </w:t>
      </w:r>
      <w:r>
        <w:rPr>
          <w:rFonts w:ascii="Times New Roman" w:hAnsi="Times New Roman" w:eastAsia="Times New Roman" w:cs="Times New Roman"/>
          <w:color w:val="000000"/>
          <w:u w:val="none"/>
        </w:rPr>
        <w:t>POST …/read</w:t>
      </w:r>
      <w:r>
        <w:rPr>
          <w:rFonts w:ascii="Times New Roman" w:hAnsi="Times New Roman" w:eastAsia="Times New Roman" w:cs="Times New Roman"/>
          <w:color w:val="000000"/>
          <w:u w:val="none"/>
        </w:rPr>
        <w:t>.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16.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16 — Сообщения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58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33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25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9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58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3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/api/v1/company/chats</w:t>
            </w:r>
          </w:p>
        </w:tc>
        <w:tc>
          <w:tcPr>
            <w:tcW w:type="dxa" w:w="25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Свои диалоги с кандидатами</w:t>
            </w:r>
          </w:p>
        </w:tc>
        <w:tc>
          <w:tcPr>
            <w:tcW w:type="dxa" w:w="29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ChatThreadView[]</w:t>
            </w:r>
          </w:p>
        </w:tc>
      </w:tr>
      <w:tr>
        <w:trPr>
          <w:cantSplit/>
        </w:trPr>
        <w:tc>
          <w:tcPr>
            <w:tcW w:type="dxa" w:w="58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3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/api/v1/company/chats/{candidate_id}/messages</w:t>
            </w:r>
          </w:p>
        </w:tc>
        <w:tc>
          <w:tcPr>
            <w:tcW w:type="dxa" w:w="25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Сообщения диалога</w:t>
            </w:r>
          </w:p>
        </w:tc>
        <w:tc>
          <w:tcPr>
            <w:tcW w:type="dxa" w:w="29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limit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ChatMessageView[]</w:t>
            </w:r>
          </w:p>
        </w:tc>
      </w:tr>
      <w:tr>
        <w:trPr>
          <w:cantSplit/>
        </w:trPr>
        <w:tc>
          <w:tcPr>
            <w:tcW w:type="dxa" w:w="58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3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/api/v1/company/chats/{candidate_id}/messages</w:t>
            </w:r>
          </w:p>
        </w:tc>
        <w:tc>
          <w:tcPr>
            <w:tcW w:type="dxa" w:w="25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Отправить сообщение</w:t>
            </w:r>
          </w:p>
        </w:tc>
        <w:tc>
          <w:tcPr>
            <w:tcW w:type="dxa" w:w="29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ChatMessageInput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201 / ChatMessageView</w:t>
            </w:r>
          </w:p>
        </w:tc>
      </w:tr>
      <w:tr>
        <w:trPr>
          <w:cantSplit/>
        </w:trPr>
        <w:tc>
          <w:tcPr>
            <w:tcW w:type="dxa" w:w="58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3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/api/v1/company/chats/{candidate_id}/read</w:t>
            </w:r>
          </w:p>
        </w:tc>
        <w:tc>
          <w:tcPr>
            <w:tcW w:type="dxa" w:w="25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Отметить входящие прочитанными</w:t>
            </w:r>
          </w:p>
        </w:tc>
        <w:tc>
          <w:tcPr>
            <w:tcW w:type="dxa" w:w="29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ReadResult</w:t>
            </w:r>
          </w:p>
        </w:tc>
      </w:tr>
      <w:tr>
        <w:trPr>
          <w:cantSplit/>
        </w:trPr>
        <w:tc>
          <w:tcPr>
            <w:tcW w:type="dxa" w:w="58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3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/api/v1/candidate/chats</w:t>
            </w:r>
          </w:p>
        </w:tc>
        <w:tc>
          <w:tcPr>
            <w:tcW w:type="dxa" w:w="25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Свои диалоги с компаниями</w:t>
            </w:r>
          </w:p>
        </w:tc>
        <w:tc>
          <w:tcPr>
            <w:tcW w:type="dxa" w:w="29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ChatThreadView[]</w:t>
            </w:r>
          </w:p>
        </w:tc>
      </w:tr>
      <w:tr>
        <w:trPr>
          <w:cantSplit/>
        </w:trPr>
        <w:tc>
          <w:tcPr>
            <w:tcW w:type="dxa" w:w="58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3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/api/v1/candidate/chats/{company_id}/messages</w:t>
            </w:r>
          </w:p>
        </w:tc>
        <w:tc>
          <w:tcPr>
            <w:tcW w:type="dxa" w:w="25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Сообщения диалога</w:t>
            </w:r>
          </w:p>
        </w:tc>
        <w:tc>
          <w:tcPr>
            <w:tcW w:type="dxa" w:w="29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limit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ChatMessageView[]</w:t>
            </w:r>
          </w:p>
        </w:tc>
      </w:tr>
      <w:tr>
        <w:trPr>
          <w:cantSplit/>
        </w:trPr>
        <w:tc>
          <w:tcPr>
            <w:tcW w:type="dxa" w:w="58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3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/api/v1/candidate/chats/{company_id}/messages</w:t>
            </w:r>
          </w:p>
        </w:tc>
        <w:tc>
          <w:tcPr>
            <w:tcW w:type="dxa" w:w="25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Отправить сообщение</w:t>
            </w:r>
          </w:p>
        </w:tc>
        <w:tc>
          <w:tcPr>
            <w:tcW w:type="dxa" w:w="29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ChatMessageInput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201 / ChatMessageView</w:t>
            </w:r>
          </w:p>
        </w:tc>
      </w:tr>
      <w:tr>
        <w:trPr>
          <w:cantSplit/>
        </w:trPr>
        <w:tc>
          <w:tcPr>
            <w:tcW w:type="dxa" w:w="58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3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/api/v1/candidate/chats/{company_id}/read</w:t>
            </w:r>
          </w:p>
        </w:tc>
        <w:tc>
          <w:tcPr>
            <w:tcW w:type="dxa" w:w="250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Отметить входящие прочитанными</w:t>
            </w:r>
          </w:p>
        </w:tc>
        <w:tc>
          <w:tcPr>
            <w:tcW w:type="dxa" w:w="29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ReadResult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12.14. Экспорт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17.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17 — Экспорт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68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24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1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68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/api/v1/candidate/profile.pdf</w:t>
            </w:r>
          </w:p>
        </w:tc>
        <w:tc>
          <w:tcPr>
            <w:tcW w:type="dxa" w:w="24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PDF своего профиля</w:t>
            </w:r>
          </w:p>
        </w:tc>
        <w:tc>
          <w:tcPr>
            <w:tcW w:type="dxa" w:w="21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application/pdf</w:t>
            </w:r>
          </w:p>
        </w:tc>
      </w:tr>
      <w:tr>
        <w:trPr>
          <w:cantSplit/>
        </w:trPr>
        <w:tc>
          <w:tcPr>
            <w:tcW w:type="dxa" w:w="68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411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/api/v1/company/candidates/{candidate_id}/profile.pdf</w:t>
            </w:r>
          </w:p>
        </w:tc>
        <w:tc>
          <w:tcPr>
            <w:tcW w:type="dxa" w:w="24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PDF разрешённой проекции</w:t>
            </w:r>
          </w:p>
        </w:tc>
        <w:tc>
          <w:tcPr>
            <w:tcW w:type="dxa" w:w="21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application/pdf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12.15. Справочники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18.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18 — Справочники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102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37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69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102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/api/v1/catalog</w:t>
            </w:r>
          </w:p>
        </w:tc>
        <w:tc>
          <w:tcPr>
            <w:tcW w:type="dxa" w:w="371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П — Направления/грейды/навыки</w:t>
            </w:r>
          </w:p>
        </w:tc>
        <w:tc>
          <w:tcPr>
            <w:tcW w:type="dxa" w:w="269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CatalogView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12.16. Компания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19.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19 — Компания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78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226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315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315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78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26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/api/v1/company/profile</w:t>
            </w:r>
          </w:p>
        </w:tc>
        <w:tc>
          <w:tcPr>
            <w:tcW w:type="dxa" w:w="315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Собственный профиль компании</w:t>
            </w:r>
          </w:p>
        </w:tc>
        <w:tc>
          <w:tcPr>
            <w:tcW w:type="dxa" w:w="315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CompanyView</w:t>
            </w:r>
          </w:p>
        </w:tc>
      </w:tr>
      <w:tr>
        <w:trPr>
          <w:cantSplit/>
        </w:trPr>
        <w:tc>
          <w:tcPr>
            <w:tcW w:type="dxa" w:w="78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PUT</w:t>
            </w:r>
          </w:p>
        </w:tc>
        <w:tc>
          <w:tcPr>
            <w:tcW w:type="dxa" w:w="226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/api/v1/company/profile</w:t>
            </w:r>
          </w:p>
        </w:tc>
        <w:tc>
          <w:tcPr>
            <w:tcW w:type="dxa" w:w="315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Сохранить профиль компании</w:t>
            </w:r>
          </w:p>
        </w:tc>
        <w:tc>
          <w:tcPr>
            <w:tcW w:type="dxa" w:w="315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CompanyInput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CompanyView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12.17. Потребности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20.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20 — Потребности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79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209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388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58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79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09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/api/v1/company/needs</w:t>
            </w:r>
          </w:p>
        </w:tc>
        <w:tc>
          <w:tcPr>
            <w:tcW w:type="dxa" w:w="388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Сохранённые собственные потребности</w:t>
            </w:r>
          </w:p>
        </w:tc>
        <w:tc>
          <w:tcPr>
            <w:tcW w:type="dxa" w:w="258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NeedView[]</w:t>
            </w:r>
          </w:p>
        </w:tc>
      </w:tr>
      <w:tr>
        <w:trPr>
          <w:cantSplit/>
        </w:trPr>
        <w:tc>
          <w:tcPr>
            <w:tcW w:type="dxa" w:w="79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09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/api/v1/company/needs</w:t>
            </w:r>
          </w:p>
        </w:tc>
        <w:tc>
          <w:tcPr>
            <w:tcW w:type="dxa" w:w="388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Создать собственную потребность</w:t>
            </w:r>
          </w:p>
        </w:tc>
        <w:tc>
          <w:tcPr>
            <w:tcW w:type="dxa" w:w="258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NeedInput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201 / NeedView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12.18. Вакансии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21.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21 — Вакансии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6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301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317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53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6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01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/api/v1/company/vacancies</w:t>
            </w:r>
          </w:p>
        </w:tc>
        <w:tc>
          <w:tcPr>
            <w:tcW w:type="dxa" w:w="317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Свои вакансии</w:t>
            </w:r>
          </w:p>
        </w:tc>
        <w:tc>
          <w:tcPr>
            <w:tcW w:type="dxa" w:w="253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VacancyView[]</w:t>
            </w:r>
          </w:p>
        </w:tc>
      </w:tr>
      <w:tr>
        <w:trPr>
          <w:cantSplit/>
        </w:trPr>
        <w:tc>
          <w:tcPr>
            <w:tcW w:type="dxa" w:w="6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01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/api/v1/company/vacancies</w:t>
            </w:r>
          </w:p>
        </w:tc>
        <w:tc>
          <w:tcPr>
            <w:tcW w:type="dxa" w:w="317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Создать свою вакансию</w:t>
            </w:r>
          </w:p>
        </w:tc>
        <w:tc>
          <w:tcPr>
            <w:tcW w:type="dxa" w:w="253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VacancyInput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201 / VacancyView</w:t>
            </w:r>
          </w:p>
        </w:tc>
      </w:tr>
      <w:tr>
        <w:trPr>
          <w:cantSplit/>
        </w:trPr>
        <w:tc>
          <w:tcPr>
            <w:tcW w:type="dxa" w:w="6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PUT</w:t>
            </w:r>
          </w:p>
        </w:tc>
        <w:tc>
          <w:tcPr>
            <w:tcW w:type="dxa" w:w="301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/api/v1/company/vacancies/{vacancy_id}</w:t>
            </w:r>
          </w:p>
        </w:tc>
        <w:tc>
          <w:tcPr>
            <w:tcW w:type="dxa" w:w="317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Заменить свою вакансию с version CAS</w:t>
            </w:r>
          </w:p>
        </w:tc>
        <w:tc>
          <w:tcPr>
            <w:tcW w:type="dxa" w:w="253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VacancyInput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VacancyView</w:t>
            </w:r>
          </w:p>
        </w:tc>
      </w:tr>
      <w:tr>
        <w:trPr>
          <w:cantSplit/>
        </w:trPr>
        <w:tc>
          <w:tcPr>
            <w:tcW w:type="dxa" w:w="6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01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/api/v1/candidate/vacancies</w:t>
            </w:r>
          </w:p>
        </w:tc>
        <w:tc>
          <w:tcPr>
            <w:tcW w:type="dxa" w:w="317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Опубликованные вакансии</w:t>
            </w:r>
          </w:p>
        </w:tc>
        <w:tc>
          <w:tcPr>
            <w:tcW w:type="dxa" w:w="253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VacancyView[]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12.19. Отклики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22.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22 — Отклики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55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33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25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95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55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3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/api/v1/candidate/vacancies/{vacancy_id}/apply</w:t>
            </w:r>
          </w:p>
        </w:tc>
        <w:tc>
          <w:tcPr>
            <w:tcW w:type="dxa" w:w="25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Отклик и grant компании вакансии</w:t>
            </w:r>
          </w:p>
        </w:tc>
        <w:tc>
          <w:tcPr>
            <w:tcW w:type="dxa" w:w="295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201 / ApplicationView</w:t>
            </w:r>
          </w:p>
        </w:tc>
      </w:tr>
      <w:tr>
        <w:trPr>
          <w:cantSplit/>
        </w:trPr>
        <w:tc>
          <w:tcPr>
            <w:tcW w:type="dxa" w:w="55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3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/api/v1/candidate/applications</w:t>
            </w:r>
          </w:p>
        </w:tc>
        <w:tc>
          <w:tcPr>
            <w:tcW w:type="dxa" w:w="25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Свои отклики</w:t>
            </w:r>
          </w:p>
        </w:tc>
        <w:tc>
          <w:tcPr>
            <w:tcW w:type="dxa" w:w="295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ApplicationView[]</w:t>
            </w:r>
          </w:p>
        </w:tc>
      </w:tr>
      <w:tr>
        <w:trPr>
          <w:cantSplit/>
        </w:trPr>
        <w:tc>
          <w:tcPr>
            <w:tcW w:type="dxa" w:w="55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3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/api/v1/company/applications</w:t>
            </w:r>
          </w:p>
        </w:tc>
        <w:tc>
          <w:tcPr>
            <w:tcW w:type="dxa" w:w="25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Отклики на свои вакансии</w:t>
            </w:r>
          </w:p>
        </w:tc>
        <w:tc>
          <w:tcPr>
            <w:tcW w:type="dxa" w:w="295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ApplicationView[]</w:t>
            </w:r>
          </w:p>
        </w:tc>
      </w:tr>
      <w:tr>
        <w:trPr>
          <w:cantSplit/>
        </w:trPr>
        <w:tc>
          <w:tcPr>
            <w:tcW w:type="dxa" w:w="55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3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/api/v1/company/applications/{application_id}/decision</w:t>
            </w:r>
          </w:p>
        </w:tc>
        <w:tc>
          <w:tcPr>
            <w:tcW w:type="dxa" w:w="25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Решение по отклику своей компании</w:t>
            </w:r>
          </w:p>
        </w:tc>
        <w:tc>
          <w:tcPr>
            <w:tcW w:type="dxa" w:w="295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ApplicationDecision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ApplicationView</w:t>
            </w:r>
          </w:p>
        </w:tc>
      </w:tr>
      <w:tr>
        <w:trPr>
          <w:cantSplit/>
        </w:trPr>
        <w:tc>
          <w:tcPr>
            <w:tcW w:type="dxa" w:w="55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3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/api/v1/candidate/applications/{application_id}/withdraw</w:t>
            </w:r>
          </w:p>
        </w:tc>
        <w:tc>
          <w:tcPr>
            <w:tcW w:type="dxa" w:w="25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Отозвать свой отклик</w:t>
            </w:r>
          </w:p>
        </w:tc>
        <w:tc>
          <w:tcPr>
            <w:tcW w:type="dxa" w:w="295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ApplicationView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12.20. Короткие задания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23.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23 — Короткие задания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5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32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314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39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5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2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/api/v1/company/tasks</w:t>
            </w:r>
          </w:p>
        </w:tc>
        <w:tc>
          <w:tcPr>
            <w:tcW w:type="dxa" w:w="314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Свои короткие текстовые задания</w:t>
            </w:r>
          </w:p>
        </w:tc>
        <w:tc>
          <w:tcPr>
            <w:tcW w:type="dxa" w:w="239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EmployerTaskView[]</w:t>
            </w:r>
          </w:p>
        </w:tc>
      </w:tr>
      <w:tr>
        <w:trPr>
          <w:cantSplit/>
        </w:trPr>
        <w:tc>
          <w:tcPr>
            <w:tcW w:type="dxa" w:w="5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2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/api/v1/company/tasks</w:t>
            </w:r>
          </w:p>
        </w:tc>
        <w:tc>
          <w:tcPr>
            <w:tcW w:type="dxa" w:w="314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Создать короткое задание</w:t>
            </w:r>
          </w:p>
        </w:tc>
        <w:tc>
          <w:tcPr>
            <w:tcW w:type="dxa" w:w="239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TaskInput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201 / EmployerTaskView</w:t>
            </w:r>
          </w:p>
        </w:tc>
      </w:tr>
      <w:tr>
        <w:trPr>
          <w:cantSplit/>
        </w:trPr>
        <w:tc>
          <w:tcPr>
            <w:tcW w:type="dxa" w:w="5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2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/api/v1/candidate/tasks</w:t>
            </w:r>
          </w:p>
        </w:tc>
        <w:tc>
          <w:tcPr>
            <w:tcW w:type="dxa" w:w="314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Доступные короткие задания/свои ответы</w:t>
            </w:r>
          </w:p>
        </w:tc>
        <w:tc>
          <w:tcPr>
            <w:tcW w:type="dxa" w:w="239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SuggestedTasksView</w:t>
            </w:r>
          </w:p>
        </w:tc>
      </w:tr>
      <w:tr>
        <w:trPr>
          <w:cantSplit/>
        </w:trPr>
        <w:tc>
          <w:tcPr>
            <w:tcW w:type="dxa" w:w="5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2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/api/v1/candidate/tasks/{task_id}/submit</w:t>
            </w:r>
          </w:p>
        </w:tc>
        <w:tc>
          <w:tcPr>
            <w:tcW w:type="dxa" w:w="314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Ответить на доступное короткое задание</w:t>
            </w:r>
          </w:p>
        </w:tc>
        <w:tc>
          <w:tcPr>
            <w:tcW w:type="dxa" w:w="239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TaskAnswer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201 / TaskResponseView</w:t>
            </w:r>
          </w:p>
        </w:tc>
      </w:tr>
      <w:tr>
        <w:trPr>
          <w:cantSplit/>
        </w:trPr>
        <w:tc>
          <w:tcPr>
            <w:tcW w:type="dxa" w:w="5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2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/api/v1/company/task-responses</w:t>
            </w:r>
          </w:p>
        </w:tc>
        <w:tc>
          <w:tcPr>
            <w:tcW w:type="dxa" w:w="314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Ответы на свои короткие задания</w:t>
            </w:r>
          </w:p>
        </w:tc>
        <w:tc>
          <w:tcPr>
            <w:tcW w:type="dxa" w:w="239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TaskResponseView[]</w:t>
            </w:r>
          </w:p>
        </w:tc>
      </w:tr>
      <w:tr>
        <w:trPr>
          <w:cantSplit/>
        </w:trPr>
        <w:tc>
          <w:tcPr>
            <w:tcW w:type="dxa" w:w="54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2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/api/v1/company/task-responses/{response_id}/review</w:t>
            </w:r>
          </w:p>
        </w:tc>
        <w:tc>
          <w:tcPr>
            <w:tcW w:type="dxa" w:w="314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Зафиксировать ручную оценку своего задания</w:t>
            </w:r>
          </w:p>
        </w:tc>
        <w:tc>
          <w:tcPr>
            <w:tcW w:type="dxa" w:w="239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TaskReview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TaskResponseView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12.21. Конструктор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24.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24 — Конструктор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5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78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5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/api/v1/company/banks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Свои банки со всеми версиями</w:t>
            </w:r>
          </w:p>
        </w:tc>
        <w:tc>
          <w:tcPr>
            <w:tcW w:type="dxa" w:w="278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BankView[]</w:t>
            </w:r>
          </w:p>
        </w:tc>
      </w:tr>
      <w:tr>
        <w:trPr>
          <w:cantSplit/>
        </w:trPr>
        <w:tc>
          <w:tcPr>
            <w:tcW w:type="dxa" w:w="5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/api/v1/company/banks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Создать банк и draft</w:t>
            </w:r>
          </w:p>
        </w:tc>
        <w:tc>
          <w:tcPr>
            <w:tcW w:type="dxa" w:w="278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BankCreate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201 / BankView</w:t>
            </w:r>
          </w:p>
        </w:tc>
      </w:tr>
      <w:tr>
        <w:trPr>
          <w:cantSplit/>
        </w:trPr>
        <w:tc>
          <w:tcPr>
            <w:tcW w:type="dxa" w:w="5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/api/v1/company/banks/{bank_id}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Свой банк и история версий</w:t>
            </w:r>
          </w:p>
        </w:tc>
        <w:tc>
          <w:tcPr>
            <w:tcW w:type="dxa" w:w="278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BankView</w:t>
            </w:r>
          </w:p>
        </w:tc>
      </w:tr>
      <w:tr>
        <w:trPr>
          <w:cantSplit/>
        </w:trPr>
        <w:tc>
          <w:tcPr>
            <w:tcW w:type="dxa" w:w="5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PATCH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/api/v1/company/banks/{bank_id}/versions/{version_id}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Заменить свой draft с revision CAS</w:t>
            </w:r>
          </w:p>
        </w:tc>
        <w:tc>
          <w:tcPr>
            <w:tcW w:type="dxa" w:w="278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VersionSave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VersionAuthor</w:t>
            </w:r>
          </w:p>
        </w:tc>
      </w:tr>
      <w:tr>
        <w:trPr>
          <w:cantSplit/>
        </w:trPr>
        <w:tc>
          <w:tcPr>
            <w:tcW w:type="dxa" w:w="5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/api/v1/company/banks/{bank_id}/versions/{version_id}/suggest-task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Предложить приватный ИИ-черновик для своей текущей draft-версии; без записи и публикации</w:t>
            </w:r>
          </w:p>
        </w:tc>
        <w:tc>
          <w:tcPr>
            <w:tcW w:type="dxa" w:w="278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TaskSuggestionInput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GenerationResult</w:t>
            </w:r>
          </w:p>
        </w:tc>
      </w:tr>
      <w:tr>
        <w:trPr>
          <w:cantSplit/>
        </w:trPr>
        <w:tc>
          <w:tcPr>
            <w:tcW w:type="dxa" w:w="5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/api/v1/company/banks/{bank_id}/versions/{version_id}/publish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Проверить и опубликовать draft</w:t>
            </w:r>
          </w:p>
        </w:tc>
        <w:tc>
          <w:tcPr>
            <w:tcW w:type="dxa" w:w="278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Revision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VersionAuthor</w:t>
            </w:r>
          </w:p>
        </w:tc>
      </w:tr>
      <w:tr>
        <w:trPr>
          <w:cantSplit/>
        </w:trPr>
        <w:tc>
          <w:tcPr>
            <w:tcW w:type="dxa" w:w="5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/api/v1/company/banks/{bank_id}/versions/{version_id}/fork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Создать draft из своей версии</w:t>
            </w:r>
          </w:p>
        </w:tc>
        <w:tc>
          <w:tcPr>
            <w:tcW w:type="dxa" w:w="278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201 / VersionAuthor</w:t>
            </w:r>
          </w:p>
        </w:tc>
      </w:tr>
      <w:tr>
        <w:trPr>
          <w:cantSplit/>
        </w:trPr>
        <w:tc>
          <w:tcPr>
            <w:tcW w:type="dxa" w:w="5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/api/v1/company/banks/{bank_id}/versions/{version_id}/archive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Архивировать свою опубликованную версию</w:t>
            </w:r>
          </w:p>
        </w:tc>
        <w:tc>
          <w:tcPr>
            <w:tcW w:type="dxa" w:w="278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VersionAuthor</w:t>
            </w:r>
          </w:p>
        </w:tc>
      </w:tr>
      <w:tr>
        <w:trPr>
          <w:cantSplit/>
        </w:trPr>
        <w:tc>
          <w:tcPr>
            <w:tcW w:type="dxa" w:w="5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/api/v1/company/banks/{bank_id}/versions/{version_id}/preview</w:t>
            </w:r>
          </w:p>
        </w:tc>
        <w:tc>
          <w:tcPr>
            <w:tcW w:type="dxa" w:w="303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Кандидатский preview своей версии</w:t>
            </w:r>
          </w:p>
        </w:tc>
        <w:tc>
          <w:tcPr>
            <w:tcW w:type="dxa" w:w="278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VersionPublic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12.22. Импорт заданий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25.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25 — Импорт заданий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53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318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245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318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53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18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/api/v1/company/banks/{bank_id}/export</w:t>
            </w:r>
          </w:p>
        </w:tc>
        <w:tc>
          <w:tcPr>
            <w:tcW w:type="dxa" w:w="245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Авторский export последней версии</w:t>
            </w:r>
          </w:p>
        </w:tc>
        <w:tc>
          <w:tcPr>
            <w:tcW w:type="dxa" w:w="318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BankDocument, text/csv, application/zip</w:t>
            </w:r>
          </w:p>
        </w:tc>
      </w:tr>
      <w:tr>
        <w:trPr>
          <w:cantSplit/>
        </w:trPr>
        <w:tc>
          <w:tcPr>
            <w:tcW w:type="dxa" w:w="53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18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/api/v1/company/bank-imports/dry-run</w:t>
            </w:r>
          </w:p>
        </w:tc>
        <w:tc>
          <w:tcPr>
            <w:tcW w:type="dxa" w:w="245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Raw dry-run и история проверки</w:t>
            </w:r>
          </w:p>
        </w:tc>
        <w:tc>
          <w:tcPr>
            <w:tcW w:type="dxa" w:w="318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raw application/octet-stream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ImportView</w:t>
            </w:r>
          </w:p>
        </w:tc>
      </w:tr>
      <w:tr>
        <w:trPr>
          <w:cantSplit/>
        </w:trPr>
        <w:tc>
          <w:tcPr>
            <w:tcW w:type="dxa" w:w="53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18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/api/v1/company/bank-imports/{import_id}/confirm</w:t>
            </w:r>
          </w:p>
        </w:tc>
        <w:tc>
          <w:tcPr>
            <w:tcW w:type="dxa" w:w="245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Атомарно подтвердить свой импорт</w:t>
            </w:r>
          </w:p>
        </w:tc>
        <w:tc>
          <w:tcPr>
            <w:tcW w:type="dxa" w:w="318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BankView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12.23. Выполнение заданий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26.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26 — Выполнение заданий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56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4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/api/v1/candidate/banks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Последние опубликованные версии банков</w:t>
            </w:r>
          </w:p>
        </w:tc>
        <w:tc>
          <w:tcPr>
            <w:tcW w:type="dxa" w:w="24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VersionPublic[]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/api/v1/candidate/bank-attempts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История собственных практик</w:t>
            </w:r>
          </w:p>
        </w:tc>
        <w:tc>
          <w:tcPr>
            <w:tcW w:type="dxa" w:w="24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AttemptPublic[]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/api/v1/candidate/banks/{bank_id}/attempts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Начать/вернуть свою практику версии</w:t>
            </w:r>
          </w:p>
        </w:tc>
        <w:tc>
          <w:tcPr>
            <w:tcW w:type="dxa" w:w="24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AttemptStart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201 / AttemptPublic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/api/v1/candidate/bank-attempts/{attempt_id}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Своя практика/answers/result</w:t>
            </w:r>
          </w:p>
        </w:tc>
        <w:tc>
          <w:tcPr>
            <w:tcW w:type="dxa" w:w="24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AttemptPublic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PATCH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/api/v1/candidate/bank-attempts/{attempt_id}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Полное autosave с revision CAS</w:t>
            </w:r>
          </w:p>
        </w:tc>
        <w:tc>
          <w:tcPr>
            <w:tcW w:type="dxa" w:w="24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AnswersSave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AttemptPublic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40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/api/v1/candidate/bank-attempts/{attempt_id}/submit</w:t>
            </w:r>
          </w:p>
        </w:tc>
        <w:tc>
          <w:tcPr>
            <w:tcW w:type="dxa" w:w="297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Отправить сохранённые answers</w:t>
            </w:r>
          </w:p>
        </w:tc>
        <w:tc>
          <w:tcPr>
            <w:tcW w:type="dxa" w:w="24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Revision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AttemptPublic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12.24. Выполнение кода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27.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27 — Выполнение кода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59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356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297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22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59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356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/api/v1/candidate/bank-attempts/{attempt_id}/code-jobs</w:t>
            </w:r>
          </w:p>
        </w:tc>
        <w:tc>
          <w:tcPr>
            <w:tcW w:type="dxa" w:w="297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Создать/вернуть VM job своего source</w:t>
            </w:r>
          </w:p>
        </w:tc>
        <w:tc>
          <w:tcPr>
            <w:tcW w:type="dxa" w:w="222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CodeSubmit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201 / CodeJobView</w:t>
            </w:r>
          </w:p>
        </w:tc>
      </w:tr>
      <w:tr>
        <w:trPr>
          <w:cantSplit/>
        </w:trPr>
        <w:tc>
          <w:tcPr>
            <w:tcW w:type="dxa" w:w="59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356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/api/v1/candidate/bank-attempts/{attempt_id}/code-jobs/{job_id}</w:t>
            </w:r>
          </w:p>
        </w:tc>
        <w:tc>
          <w:tcPr>
            <w:tcW w:type="dxa" w:w="2970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К — Статус своего VM job</w:t>
            </w:r>
          </w:p>
        </w:tc>
        <w:tc>
          <w:tcPr>
            <w:tcW w:type="dxa" w:w="222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CodeJobView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12.25. Ручная проверка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28.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28 — Ручная проверка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49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49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GET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/api/v1/company/banks/{bank_id}/attempts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Отправленные попытки своего банка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AttemptAuthor[]</w:t>
            </w:r>
          </w:p>
        </w:tc>
      </w:tr>
      <w:tr>
        <w:trPr>
          <w:cantSplit/>
        </w:trPr>
        <w:tc>
          <w:tcPr>
            <w:tcW w:type="dxa" w:w="49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/api/v1/company/bank-attempts/{attempt_id}/review-suggestion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ИИ-подсказка оценки открытого ответа (ничего не сохраняет; нужна ручная фиксация)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ReviewSuggestionInput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ReviewSuggestion; 422 не открытый ответ; 503 ИИ выключен или модель недоступна; 502 ответ не прошёл проверку; 429 лимит</w:t>
            </w:r>
          </w:p>
        </w:tc>
      </w:tr>
      <w:tr>
        <w:trPr>
          <w:cantSplit/>
        </w:trPr>
        <w:tc>
          <w:tcPr>
            <w:tcW w:type="dxa" w:w="49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/api/v1/company/bank-attempts/{attempt_id}/review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Р — Зафиксировать review своего открытого задания</w:t>
            </w:r>
          </w:p>
        </w:tc>
        <w:tc>
          <w:tcPr>
            <w:tcW w:type="dxa" w:w="295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ReviewInput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AttemptAuthor</w:t>
            </w:r>
          </w:p>
        </w:tc>
      </w:tr>
    </w:tbl>
    <w:p>
      <w:pPr>
        <w:spacing w:after="0"/>
        <w:ind w:firstLine="0"/>
      </w:pPr>
    </w:p>
    <w:p>
      <w:pPr>
        <w:pStyle w:val="Heading3"/>
      </w:pPr>
      <w:r>
        <w:rPr>
          <w:rFonts w:ascii="Times New Roman" w:hAnsi="Times New Roman" w:eastAsia="Times New Roman" w:cs="Times New Roman"/>
          <w:color w:val="000000"/>
          <w:u w:val="none"/>
        </w:rPr>
        <w:t>12.26. Внутренний runner</w:t>
      </w:r>
    </w:p>
    <w:p>
      <w:pPr>
        <w:pStyle w:val="GOSTTableReference"/>
      </w:pPr>
      <w:r>
        <w:rPr>
          <w:rFonts w:ascii="Times New Roman" w:hAnsi="Times New Roman" w:eastAsia="Times New Roman" w:cs="Times New Roman"/>
          <w:color w:val="000000"/>
          <w:sz w:val="28"/>
          <w:u w:val="none"/>
        </w:rPr>
        <w:t>Сведения приведены в таблице 29.</w:t>
      </w:r>
    </w:p>
    <w:p>
      <w:pPr>
        <w:pStyle w:val="GOSTTableCaption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Таблица 29 — Внутренний runner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6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Метод</w:t>
            </w:r>
          </w:p>
        </w:tc>
        <w:tc>
          <w:tcPr>
            <w:tcW w:type="dxa" w:w="298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Путь</w:t>
            </w:r>
          </w:p>
        </w:tc>
        <w:tc>
          <w:tcPr>
            <w:tcW w:type="dxa" w:w="362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Роль / назначение</w:t>
            </w:r>
          </w:p>
        </w:tc>
        <w:tc>
          <w:tcPr>
            <w:tcW w:type="dxa" w:w="209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u w:val="none"/>
              </w:rPr>
              <w:t>Вход → статус / ответ</w:t>
            </w:r>
          </w:p>
        </w:tc>
      </w:tr>
      <w:tr>
        <w:trPr>
          <w:cantSplit/>
        </w:trPr>
        <w:tc>
          <w:tcPr>
            <w:tcW w:type="dxa" w:w="6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98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/internal/runner/claim</w:t>
            </w:r>
          </w:p>
        </w:tc>
        <w:tc>
          <w:tcPr>
            <w:tcW w:type="dxa" w:w="362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W — Получить job/lease или null</w:t>
            </w:r>
          </w:p>
        </w:tc>
        <w:tc>
          <w:tcPr>
            <w:tcW w:type="dxa" w:w="209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—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RunnerClaim</w:t>
            </w:r>
          </w:p>
        </w:tc>
      </w:tr>
      <w:tr>
        <w:trPr>
          <w:cantSplit/>
        </w:trPr>
        <w:tc>
          <w:tcPr>
            <w:tcW w:type="dxa" w:w="64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POST</w:t>
            </w:r>
          </w:p>
        </w:tc>
        <w:tc>
          <w:tcPr>
            <w:tcW w:type="dxa" w:w="298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/internal/runner/jobs/{job_id}/result</w:t>
            </w:r>
          </w:p>
        </w:tc>
        <w:tc>
          <w:tcPr>
            <w:tcW w:type="dxa" w:w="362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W — Зафиксировать leased результат исполнения</w:t>
            </w:r>
          </w:p>
        </w:tc>
        <w:tc>
          <w:tcPr>
            <w:tcW w:type="dxa" w:w="209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>RunnerResult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u w:val="none"/>
              </w:rPr>
              <w:t xml:space="preserve"> → 200 / Saved</w:t>
            </w:r>
          </w:p>
        </w:tc>
      </w:tr>
    </w:tbl>
    <w:p>
      <w:pPr>
        <w:spacing w:after="0"/>
        <w:ind w:firstLine="0"/>
      </w:pP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13. Историческая проверка руководства (72 пути / 82 операции)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Повторно прочитан девятистраничный оригинал ТЗ; сверены app/schemas/contract, product, banks, security и тестовые сценарии API. Файл auth.py отсутствует: сессии/CSRF находятся в app.py, пароли — security.py. Справочник получен из OpenAPI с ручной проверкой ролей/назначений: все 82 method/path представлены ровно один раз, лишних операций нет. Offline-проверка файла HTTP подтвердила 62 запроса к действительным операциям; все 30 JSON-тел сверены с входными схемами после безопасной подстановки синтетических значений. Защищённые внешние ФСП вызовы не выполнялись. Полная действующая regression-приёмка — </w:t>
      </w:r>
      <w:hyperlink r:id="rId17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актуальное руководство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>; этот справочник не обещает новый прогон всего приложения или production-готовность.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 xml:space="preserve">Дополнение 10 октября (сообщения) довело контракт до 86 путей / 99 операций; дополнение 9 октября содержало 80 путей / 91 операцию, включая добросовестность, локальный OIDC mock, предложение ИИ-черновика и рекомендацию короткого задания на неделю. Текущая проверка — </w:t>
      </w:r>
      <w:r>
        <w:rPr>
          <w:rFonts w:ascii="Times New Roman" w:hAnsi="Times New Roman" w:eastAsia="Times New Roman" w:cs="Times New Roman"/>
          <w:color w:val="000000"/>
          <w:u w:val="none"/>
        </w:rPr>
        <w:t>polish-api-results.json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(архив этапа в закрытой истории), PDF — </w:t>
      </w:r>
      <w:r>
        <w:rPr>
          <w:rFonts w:ascii="Times New Roman" w:hAnsi="Times New Roman" w:eastAsia="Times New Roman" w:cs="Times New Roman"/>
          <w:color w:val="000000"/>
          <w:u w:val="none"/>
        </w:rPr>
        <w:t>polish-api-pdf-results.json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(архив этапа в закрытой истории); протокол доводки — </w:t>
      </w:r>
      <w:r>
        <w:rPr>
          <w:rFonts w:ascii="Times New Roman" w:hAnsi="Times New Roman" w:eastAsia="Times New Roman" w:cs="Times New Roman"/>
          <w:color w:val="000000"/>
          <w:u w:val="none"/>
        </w:rPr>
        <w:t>polish-results.json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(архив этапа в закрытой истории) и </w:t>
      </w:r>
      <w:hyperlink r:id="rId18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актуальное руководство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. Прежние </w:t>
      </w:r>
      <w:r>
        <w:rPr>
          <w:rFonts w:ascii="Times New Roman" w:hAnsi="Times New Roman" w:eastAsia="Times New Roman" w:cs="Times New Roman"/>
          <w:color w:val="000000"/>
          <w:u w:val="none"/>
        </w:rPr>
        <w:t>docs/final-api-results.json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u w:val="none"/>
        </w:rPr>
        <w:t>final-api-pdf-results.json</w:t>
      </w:r>
      <w:r>
        <w:rPr>
          <w:rFonts w:ascii="Times New Roman" w:hAnsi="Times New Roman" w:eastAsia="Times New Roman" w:cs="Times New Roman"/>
          <w:color w:val="000000"/>
          <w:u w:val="none"/>
        </w:rPr>
        <w:t xml:space="preserve"> (архив этапа в закрытой истории) и </w:t>
      </w:r>
      <w:hyperlink r:id="rId17">
        <w:r>
          <w:rPr>
            <w:rFonts w:ascii="Times New Roman" w:hAnsi="Times New Roman" w:eastAsia="Times New Roman" w:cs="Times New Roman"/>
            <w:color w:val="000000"/>
            <w:u w:val="none"/>
          </w:rPr>
          <w:t xml:space="preserve">актуальное руководство</w:t>
        </w:r>
      </w:hyperlink>
      <w:r>
        <w:rPr>
          <w:rFonts w:ascii="Times New Roman" w:hAnsi="Times New Roman" w:eastAsia="Times New Roman" w:cs="Times New Roman"/>
          <w:color w:val="000000"/>
          <w:u w:val="none"/>
        </w:rPr>
        <w:t xml:space="preserve"> относятся к этапу 79 путей / 90 операций.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u w:val="none"/>
        </w:rPr>
        <w:t>14. Иллюстрация пользовательского контроля доступа</w:t>
      </w:r>
    </w:p>
    <w:p>
      <w:r>
        <w:rPr>
          <w:rFonts w:ascii="Times New Roman" w:hAnsi="Times New Roman" w:eastAsia="Times New Roman" w:cs="Times New Roman"/>
          <w:color w:val="000000"/>
          <w:u w:val="none"/>
        </w:rPr>
        <w:t>На рисунке 1 показаны настройки кандидата на работающем синтетическом стенде. Они поясняют назначение операций приватности; проверку полномочий выполняет сервер. Скрытие элементов интерфейса само по себе не заменяет авторизацию API.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u w:val="none"/>
        </w:rPr>
        <w:drawing>
          <wp:inline xmlns:a="http://schemas.openxmlformats.org/drawingml/2006/main" xmlns:pic="http://schemas.openxmlformats.org/drawingml/2006/picture">
            <wp:extent cx="5940000" cy="4124999"/>
            <wp:docPr id="1" name="privacy" descr="Настройки доступности профиля и контакт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vac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4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OSTCaption"/>
        <w:keepNext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Рисунок 1 — Настройки доступности профиля и контактов</w:t>
      </w:r>
    </w:p>
    <w:p>
      <w:pPr>
        <w:pStyle w:val="GOSTFigureSource"/>
      </w:pPr>
      <w:r>
        <w:rPr>
          <w:rFonts w:ascii="Times New Roman" w:hAnsi="Times New Roman" w:eastAsia="Times New Roman" w:cs="Times New Roman"/>
          <w:color w:val="000000"/>
          <w:sz w:val="24"/>
          <w:u w:val="none"/>
        </w:rPr>
        <w:t>Источник: Работающий синтетический стенд NAS, Chromium; 11 октября 2026 года.</w:t>
      </w: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567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color w:val="000000"/>
        <w:sz w:val="24"/>
        <w:u w:val="none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3"/>
    </w:pPr>
    <w:rPr>
      <w:rFonts w:ascii="Times New Roman" w:hAnsi="Times New Roman" w:eastAsia="Times New Roman" w:cs="Times New Roman"/>
      <w:b/>
      <w:bCs/>
      <w:i w:val="0"/>
      <w:iCs/>
      <w:color w:val="000000"/>
      <w:sz w:val="28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2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3DFEE" w:themeFill="accen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FD3D2" w:themeFill="accent2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6EED5" w:themeFill="accent3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FD8E8" w:themeFill="accent4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2EAF1" w:themeFill="accent5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FDE4D0" w:themeFill="accent6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shd w:val="clear" w:color="000000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shd w:val="clear" w:color="000000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shd w:val="clear" w:color="000000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shd w:val="clear" w:color="000000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shd w:val="clear" w:color="000000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shd w:val="clear" w:color="000000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shd w:val="clear" w:color="000000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C0C0C0" w:themeFill="tex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3DFEE" w:themeFill="accen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FD3D2" w:themeFill="accent2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6EED5" w:themeFill="accent3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FD8E8" w:themeFill="accent4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2EAF1" w:themeFill="accent5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FDE4D0" w:themeFill="accent6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color w:val="000000"/>
      </w:rPr>
      <w:tblPr/>
      <w:tcPr>
        <w:shd w:val="clear" w:color="000000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CCCCC" w:themeFill="text1" w:themeFillTint="33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808080" w:themeFill="tex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color w:val="000000"/>
      </w:rPr>
      <w:tblPr/>
      <w:tcPr>
        <w:shd w:val="clear" w:color="000000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BE5F1" w:themeFill="accent1" w:themeFillTint="33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7BFDE" w:themeFill="accen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color w:val="000000"/>
      </w:rPr>
      <w:tblPr/>
      <w:tcPr>
        <w:shd w:val="clear" w:color="000000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2DBDB" w:themeFill="accent2" w:themeFillTint="33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DFA7A6" w:themeFill="accent2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color w:val="000000"/>
      </w:rPr>
      <w:tblPr/>
      <w:tcPr>
        <w:shd w:val="clear" w:color="000000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AF1DD" w:themeFill="accent3" w:themeFillTint="33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CDDDAC" w:themeFill="accent3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color w:val="000000"/>
      </w:rPr>
      <w:tblPr/>
      <w:tcPr>
        <w:shd w:val="clear" w:color="000000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5DFEC" w:themeFill="accent4" w:themeFillTint="33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BFB1D0" w:themeFill="accent4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color w:val="000000"/>
      </w:rPr>
      <w:tblPr/>
      <w:tcPr>
        <w:shd w:val="clear" w:color="000000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AEEF3" w:themeFill="accent5" w:themeFillTint="33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5D5E2" w:themeFill="accent5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color w:val="000000"/>
      </w:rPr>
      <w:tblPr/>
      <w:tcPr>
        <w:shd w:val="clear" w:color="000000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9D9" w:themeFill="accent6" w:themeFillTint="33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FBCAA2" w:themeFill="accent6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8080" w:themeFill="tex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7BFDE" w:themeFill="accen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DFA7A6" w:themeFill="accent2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DDDAC" w:themeFill="accent3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BFB1D0" w:themeFill="accent4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5D5E2" w:themeFill="accent5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BCAA2" w:themeFill="accent6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C4C74" w:themeFill="accent1" w:themeFillShade="99"/>
      </w:tcPr>
    </w:tblStylePr>
    <w:tblStylePr w:type="band1Vert">
      <w:tblPr/>
      <w:tcPr>
        <w:shd w:val="clear" w:color="000000" w:fill="B8CCE4" w:themeFill="accent1" w:themeFillTint="66"/>
      </w:tcPr>
    </w:tblStylePr>
    <w:tblStylePr w:type="band1Horz">
      <w:tblPr/>
      <w:tcPr>
        <w:shd w:val="clear" w:color="000000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72C2A" w:themeFill="accent2" w:themeFillShade="99"/>
      </w:tcPr>
    </w:tblStylePr>
    <w:tblStylePr w:type="band1Vert">
      <w:tblPr/>
      <w:tcPr>
        <w:shd w:val="clear" w:color="000000" w:fill="E5B8B7" w:themeFill="accent2" w:themeFillTint="66"/>
      </w:tcPr>
    </w:tblStylePr>
    <w:tblStylePr w:type="band1Horz">
      <w:tblPr/>
      <w:tcPr>
        <w:shd w:val="clear" w:color="000000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E7530" w:themeFill="accent3" w:themeFillShade="99"/>
      </w:tcPr>
    </w:tblStylePr>
    <w:tblStylePr w:type="band1Vert">
      <w:tblPr/>
      <w:tcPr>
        <w:shd w:val="clear" w:color="000000" w:fill="D6E3BC" w:themeFill="accent3" w:themeFillTint="66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4C3B62" w:themeFill="accent4" w:themeFillShade="99"/>
      </w:tcPr>
    </w:tblStylePr>
    <w:tblStylePr w:type="band1Vert">
      <w:tblPr/>
      <w:tcPr>
        <w:shd w:val="clear" w:color="000000" w:fill="CCC0D9" w:themeFill="accent4" w:themeFillTint="66"/>
      </w:tcPr>
    </w:tblStylePr>
    <w:tblStylePr w:type="band1Horz">
      <w:tblPr/>
      <w:tcPr>
        <w:shd w:val="clear" w:color="000000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76A7C" w:themeFill="accent5" w:themeFillShade="99"/>
      </w:tcPr>
    </w:tblStylePr>
    <w:tblStylePr w:type="band1Vert">
      <w:tblPr/>
      <w:tcPr>
        <w:shd w:val="clear" w:color="000000" w:fill="B6DDE8" w:themeFill="accent5" w:themeFillTint="66"/>
      </w:tcPr>
    </w:tblStylePr>
    <w:tblStylePr w:type="band1Horz">
      <w:tblPr/>
      <w:tcPr>
        <w:shd w:val="clear" w:color="000000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B65608" w:themeFill="accent6" w:themeFillShade="99"/>
      </w:tcPr>
    </w:tblStylePr>
    <w:tblStylePr w:type="band1Vert">
      <w:tblPr/>
      <w:tcPr>
        <w:shd w:val="clear" w:color="000000" w:fill="FBD4B4" w:themeFill="accent6" w:themeFillTint="66"/>
      </w:tcPr>
    </w:tblStylePr>
    <w:tblStylePr w:type="band1Horz">
      <w:tblPr/>
      <w:tcPr>
        <w:shd w:val="clear" w:color="000000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shd w:val="clear" w:color="000000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shd w:val="clear" w:color="000000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shd w:val="clear" w:color="000000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shd w:val="clear" w:color="000000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shd w:val="clear" w:color="000000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shd w:val="clear" w:color="000000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CCCCC" w:themeFill="text1" w:themeFillTint="33"/>
    </w:tcPr>
    <w:tblStylePr w:type="firstRow">
      <w:rPr>
        <w:b/>
        <w:bCs/>
      </w:rPr>
      <w:tblPr/>
      <w:tcPr>
        <w:shd w:val="clear" w:color="000000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999999" w:themeFill="text1" w:themeFillTint="66"/>
      </w:tcPr>
    </w:tblStylePr>
    <w:tblStylePr w:type="firstCol">
      <w:rPr>
        <w:color w:val="000000"/>
      </w:rPr>
      <w:tblPr/>
      <w:tcPr>
        <w:shd w:val="clear" w:color="000000" w:fill="000000" w:themeFill="text1" w:themeFillShade="BF"/>
      </w:tcPr>
    </w:tblStylePr>
    <w:tblStylePr w:type="lastCol">
      <w:rPr>
        <w:color w:val="000000"/>
      </w:rPr>
      <w:tblPr/>
      <w:tcPr>
        <w:shd w:val="clear" w:color="000000" w:fill="000000" w:themeFill="text1" w:themeFillShade="BF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BE5F1" w:themeFill="accent1" w:themeFillTint="33"/>
    </w:tcPr>
    <w:tblStylePr w:type="firstRow">
      <w:rPr>
        <w:b/>
        <w:bCs/>
      </w:rPr>
      <w:tblPr/>
      <w:tcPr>
        <w:shd w:val="clear" w:color="000000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B8CCE4" w:themeFill="accent1" w:themeFillTint="66"/>
      </w:tcPr>
    </w:tblStylePr>
    <w:tblStylePr w:type="firstCol">
      <w:rPr>
        <w:color w:val="000000"/>
      </w:rPr>
      <w:tblPr/>
      <w:tcPr>
        <w:shd w:val="clear" w:color="000000" w:fill="365F91" w:themeFill="accent1" w:themeFillShade="BF"/>
      </w:tcPr>
    </w:tblStylePr>
    <w:tblStylePr w:type="lastCol">
      <w:rPr>
        <w:color w:val="000000"/>
      </w:rPr>
      <w:tblPr/>
      <w:tcPr>
        <w:shd w:val="clear" w:color="000000" w:fill="365F91" w:themeFill="accent1" w:themeFillShade="BF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DBDB" w:themeFill="accent2" w:themeFillTint="33"/>
    </w:tcPr>
    <w:tblStylePr w:type="firstRow">
      <w:rPr>
        <w:b/>
        <w:bCs/>
      </w:rPr>
      <w:tblPr/>
      <w:tcPr>
        <w:shd w:val="clear" w:color="000000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000000" w:fill="E5B8B7" w:themeFill="accent2" w:themeFillTint="66"/>
      </w:tcPr>
    </w:tblStylePr>
    <w:tblStylePr w:type="firstCol">
      <w:rPr>
        <w:color w:val="000000"/>
      </w:rPr>
      <w:tblPr/>
      <w:tcPr>
        <w:shd w:val="clear" w:color="000000" w:fill="943634" w:themeFill="accent2" w:themeFillShade="BF"/>
      </w:tcPr>
    </w:tblStylePr>
    <w:tblStylePr w:type="lastCol">
      <w:rPr>
        <w:color w:val="000000"/>
      </w:rPr>
      <w:tblPr/>
      <w:tcPr>
        <w:shd w:val="clear" w:color="000000" w:fill="943634" w:themeFill="accent2" w:themeFillShade="BF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AF1DD" w:themeFill="accent3" w:themeFillTint="33"/>
    </w:tcPr>
    <w:tblStylePr w:type="firstRow">
      <w:rPr>
        <w:b/>
        <w:bCs/>
      </w:rPr>
      <w:tblPr/>
      <w:tcPr>
        <w:shd w:val="clear" w:color="000000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000000" w:fill="D6E3BC" w:themeFill="accent3" w:themeFillTint="66"/>
      </w:tcPr>
    </w:tblStylePr>
    <w:tblStylePr w:type="firstCol">
      <w:rPr>
        <w:color w:val="000000"/>
      </w:rPr>
      <w:tblPr/>
      <w:tcPr>
        <w:shd w:val="clear" w:color="000000" w:fill="76923C" w:themeFill="accent3" w:themeFillShade="BF"/>
      </w:tcPr>
    </w:tblStylePr>
    <w:tblStylePr w:type="lastCol">
      <w:rPr>
        <w:color w:val="000000"/>
      </w:rPr>
      <w:tblPr/>
      <w:tcPr>
        <w:shd w:val="clear" w:color="000000" w:fill="76923C" w:themeFill="accent3" w:themeFillShade="BF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5DFEC" w:themeFill="accent4" w:themeFillTint="33"/>
    </w:tcPr>
    <w:tblStylePr w:type="firstRow">
      <w:rPr>
        <w:b/>
        <w:bCs/>
      </w:rPr>
      <w:tblPr/>
      <w:tcPr>
        <w:shd w:val="clear" w:color="000000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000000" w:fill="CCC0D9" w:themeFill="accent4" w:themeFillTint="66"/>
      </w:tcPr>
    </w:tblStylePr>
    <w:tblStylePr w:type="firstCol">
      <w:rPr>
        <w:color w:val="000000"/>
      </w:rPr>
      <w:tblPr/>
      <w:tcPr>
        <w:shd w:val="clear" w:color="000000" w:fill="5F497A" w:themeFill="accent4" w:themeFillShade="BF"/>
      </w:tcPr>
    </w:tblStylePr>
    <w:tblStylePr w:type="lastCol">
      <w:rPr>
        <w:color w:val="000000"/>
      </w:rPr>
      <w:tblPr/>
      <w:tcPr>
        <w:shd w:val="clear" w:color="000000" w:fill="5F497A" w:themeFill="accent4" w:themeFillShade="BF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AEEF3" w:themeFill="accent5" w:themeFillTint="33"/>
    </w:tcPr>
    <w:tblStylePr w:type="firstRow">
      <w:rPr>
        <w:b/>
        <w:bCs/>
      </w:rPr>
      <w:tblPr/>
      <w:tcPr>
        <w:shd w:val="clear" w:color="000000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000000" w:fill="B6DDE8" w:themeFill="accent5" w:themeFillTint="66"/>
      </w:tcPr>
    </w:tblStylePr>
    <w:tblStylePr w:type="firstCol">
      <w:rPr>
        <w:color w:val="000000"/>
      </w:rPr>
      <w:tblPr/>
      <w:tcPr>
        <w:shd w:val="clear" w:color="000000" w:fill="31849B" w:themeFill="accent5" w:themeFillShade="BF"/>
      </w:tcPr>
    </w:tblStylePr>
    <w:tblStylePr w:type="lastCol">
      <w:rPr>
        <w:color w:val="000000"/>
      </w:rPr>
      <w:tblPr/>
      <w:tcPr>
        <w:shd w:val="clear" w:color="000000" w:fill="31849B" w:themeFill="accent5" w:themeFillShade="BF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9D9" w:themeFill="accent6" w:themeFillTint="33"/>
    </w:tcPr>
    <w:tblStylePr w:type="firstRow">
      <w:rPr>
        <w:b/>
        <w:bCs/>
      </w:rPr>
      <w:tblPr/>
      <w:tcPr>
        <w:shd w:val="clear" w:color="000000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000000" w:fill="FBD4B4" w:themeFill="accent6" w:themeFillTint="66"/>
      </w:tcPr>
    </w:tblStylePr>
    <w:tblStylePr w:type="firstCol">
      <w:rPr>
        <w:color w:val="000000"/>
      </w:rPr>
      <w:tblPr/>
      <w:tcPr>
        <w:shd w:val="clear" w:color="000000" w:fill="E36C0A" w:themeFill="accent6" w:themeFillShade="BF"/>
      </w:tcPr>
    </w:tblStylePr>
    <w:tblStylePr w:type="lastCol">
      <w:rPr>
        <w:color w:val="000000"/>
      </w:rPr>
      <w:tblPr/>
      <w:tcPr>
        <w:shd w:val="clear" w:color="000000" w:fill="E36C0A" w:themeFill="accent6" w:themeFillShade="BF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paragraph" w:customStyle="1" w:styleId="GOSTList">
    <w:name w:val="GOST List"/>
    <w:pPr>
      <w:spacing w:before="0" w:after="0" w:line="360" w:lineRule="auto"/>
      <w:ind w:hanging="357" w:left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Quote">
    <w:name w:val="GOST Quote"/>
    <w:pPr>
      <w:spacing w:before="0" w:after="0" w:line="360" w:lineRule="auto"/>
      <w:ind w:left="709" w:firstLine="0"/>
      <w:jc w:val="both"/>
    </w:pPr>
    <w:rPr>
      <w:rFonts w:ascii="Times New Roman" w:hAnsi="Times New Roman" w:eastAsia="Times New Roman" w:cs="Times New Roman"/>
      <w:b w:val="0"/>
      <w:i/>
      <w:color w:val="000000"/>
      <w:sz w:val="28"/>
      <w:u w:val="none"/>
    </w:rPr>
  </w:style>
  <w:style w:type="paragraph" w:customStyle="1" w:styleId="GOSTCode">
    <w:name w:val="GOST Code"/>
    <w:pPr>
      <w:spacing w:before="60" w:after="60" w:line="240" w:lineRule="auto"/>
      <w:ind w:left="709" w:firstLine="0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Caption">
    <w:name w:val="GOST Caption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Source">
    <w:name w:val="GOST Figure Source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Reference">
    <w:name w:val="GOST Figur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TableCaption">
    <w:name w:val="GOST Table Caption"/>
    <w:pPr>
      <w:keepNext/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TableReference">
    <w:name w:val="GOST Tabl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CoverMetadata">
    <w:name w:val="GOST Cover Metadata"/>
    <w:pPr>
      <w:spacing w:before="0" w:after="12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Navigation">
    <w:name w:val="GOST Navigation"/>
    <w:pPr>
      <w:spacing w:before="0" w:after="60" w:line="240" w:lineRule="auto"/>
      <w:ind w:firstLine="0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120" w:line="360" w:lineRule="auto"/>
      <w:ind w:firstLine="0" w:left="0"/>
      <w:jc w:val="left"/>
      <w:outlineLvl w:val="3"/>
    </w:pPr>
    <w:rPr>
      <w:rFonts w:ascii="Times New Roman" w:hAnsi="Times New Roman" w:eastAsia="Times New Roman" w:cs="Times New Roman"/>
      <w:b/>
      <w:bCs/>
      <w:i w:val="0"/>
      <w:iCs/>
      <w:color w:val="000000"/>
      <w:sz w:val="28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2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000000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3DFEE" w:themeFill="accen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FD3D2" w:themeFill="accent2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E6EED5" w:themeFill="accent3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FD8E8" w:themeFill="accent4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D2EAF1" w:themeFill="accent5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000000" w:fill="FDE4D0" w:themeFill="accent6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000000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000000"/>
        <w:bottom w:val="single" w:sz="1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000000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C0C0C0" w:themeFill="text1" w:themeFillTint="3F"/>
      </w:tcPr>
    </w:tblStylePr>
    <w:tblStylePr w:type="band1Horz">
      <w:tblPr/>
      <w:tcPr>
        <w:shd w:val="clear" w:color="000000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3DFEE" w:themeFill="accent1" w:themeFillTint="3F"/>
      </w:tcPr>
    </w:tblStylePr>
    <w:tblStylePr w:type="band1Horz">
      <w:tblPr/>
      <w:tcPr>
        <w:shd w:val="clear" w:color="000000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FD3D2" w:themeFill="accent2" w:themeFillTint="3F"/>
      </w:tcPr>
    </w:tblStylePr>
    <w:tblStylePr w:type="band1Horz">
      <w:tblPr/>
      <w:tcPr>
        <w:shd w:val="clear" w:color="000000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E6EED5" w:themeFill="accent3" w:themeFillTint="3F"/>
      </w:tcPr>
    </w:tblStylePr>
    <w:tblStylePr w:type="band1Horz">
      <w:tblPr/>
      <w:tcPr>
        <w:shd w:val="clear" w:color="000000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FD8E8" w:themeFill="accent4" w:themeFillTint="3F"/>
      </w:tcPr>
    </w:tblStylePr>
    <w:tblStylePr w:type="band1Horz">
      <w:tblPr/>
      <w:tcPr>
        <w:shd w:val="clear" w:color="000000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D2EAF1" w:themeFill="accent5" w:themeFillTint="3F"/>
      </w:tcPr>
    </w:tblStylePr>
    <w:tblStylePr w:type="band1Horz">
      <w:tblPr/>
      <w:tcPr>
        <w:shd w:val="clear" w:color="000000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000000" w:fill="FDE4D0" w:themeFill="accent6" w:themeFillTint="3F"/>
      </w:tcPr>
    </w:tblStylePr>
    <w:tblStylePr w:type="band1Horz">
      <w:tblPr/>
      <w:tcPr>
        <w:shd w:val="clear" w:color="000000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C0C0C0" w:themeFill="tex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3DFEE" w:themeFill="accent1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FD3D2" w:themeFill="accent2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E6EED5" w:themeFill="accent3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FD8E8" w:themeFill="accent4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D2EAF1" w:themeFill="accent5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000000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000000" w:fill="FDE4D0" w:themeFill="accent6" w:themeFillTint="3F"/>
      </w:tcPr>
    </w:tblStylePr>
    <w:tblStylePr w:type="nwCell">
      <w:tblPr/>
      <w:tcPr>
        <w:shd w:val="clear" w:color="000000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color w:val="000000"/>
      </w:rPr>
      <w:tblPr/>
      <w:tcPr>
        <w:shd w:val="clear" w:color="000000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CCCCC" w:themeFill="text1" w:themeFillTint="33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808080" w:themeFill="tex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color w:val="000000"/>
      </w:rPr>
      <w:tblPr/>
      <w:tcPr>
        <w:shd w:val="clear" w:color="000000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BE5F1" w:themeFill="accent1" w:themeFillTint="33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7BFDE" w:themeFill="accent1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color w:val="000000"/>
      </w:rPr>
      <w:tblPr/>
      <w:tcPr>
        <w:shd w:val="clear" w:color="000000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2DBDB" w:themeFill="accent2" w:themeFillTint="33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DFA7A6" w:themeFill="accent2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color w:val="000000"/>
      </w:rPr>
      <w:tblPr/>
      <w:tcPr>
        <w:shd w:val="clear" w:color="000000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AF1DD" w:themeFill="accent3" w:themeFillTint="33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CDDDAC" w:themeFill="accent3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color w:val="000000"/>
      </w:rPr>
      <w:tblPr/>
      <w:tcPr>
        <w:shd w:val="clear" w:color="000000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5DFEC" w:themeFill="accent4" w:themeFillTint="33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BFB1D0" w:themeFill="accent4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color w:val="000000"/>
      </w:rPr>
      <w:tblPr/>
      <w:tcPr>
        <w:shd w:val="clear" w:color="000000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AEEF3" w:themeFill="accent5" w:themeFillTint="33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A5D5E2" w:themeFill="accent5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color w:val="000000"/>
      </w:rPr>
      <w:tblPr/>
      <w:tcPr>
        <w:shd w:val="clear" w:color="000000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9D9" w:themeFill="accent6" w:themeFillTint="33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000000" w:fill="FBCAA2" w:themeFill="accent6" w:themeFillTint="7F"/>
      </w:tcPr>
    </w:tblStylePr>
    <w:tblStylePr w:type="nwCell">
      <w:tblPr/>
      <w:tcPr>
        <w:shd w:val="clear" w:color="000000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000000" w:themeFill="tex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808080" w:themeFill="tex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F81BD" w:themeFill="accent1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7BFDE" w:themeFill="accent1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C0504D" w:themeFill="accent2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DFA7A6" w:themeFill="accent2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9BBB59" w:themeFill="accent3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CDDDAC" w:themeFill="accent3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8064A2" w:themeFill="accent4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BFB1D0" w:themeFill="accent4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4BACC6" w:themeFill="accent5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A5D5E2" w:themeFill="accent5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000000"/>
          <w:left w:val="single" w:sz="8" w:space="0" w:color="000000"/>
          <w:bottom w:val="single" w:sz="24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  <w:shd w:val="clear" w:color="000000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000000"/>
          <w:right w:val="single" w:sz="24" w:space="0" w:color="000000"/>
          <w:insideH w:val="nil"/>
          <w:insideV w:val="nil"/>
        </w:tcBorders>
        <w:shd w:val="clear" w:color="000000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000000" w:fill="F79646" w:themeFill="accent6"/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cBorders>
        <w:shd w:val="clear" w:color="000000" w:fill="FBCAA2" w:themeFill="accent6" w:themeFillTint="7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cBorders>
        <w:shd w:val="clear" w:color="000000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000000"/>
          <w:right w:val="nil"/>
          <w:insideH w:val="nil"/>
          <w:insideV w:val="nil"/>
        </w:tcBorders>
        <w:shd w:val="clear" w:color="000000" w:fill="000000" w:themeFill="text1"/>
      </w:tcPr>
    </w:tblStylePr>
    <w:tblStylePr w:type="lastRow">
      <w:tblPr/>
      <w:tcPr>
        <w:tcBorders>
          <w:top w:val="single" w:sz="18" w:space="0" w:color="000000"/>
          <w:left w:val="nil"/>
          <w:bottom w:val="nil"/>
          <w:right w:val="nil"/>
          <w:insideH w:val="nil"/>
          <w:insideV w:val="nil"/>
        </w:tcBorders>
        <w:shd w:val="clear" w:color="000000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000000"/>
          <w:insideH w:val="nil"/>
          <w:insideV w:val="nil"/>
        </w:tcBorders>
        <w:shd w:val="clear" w:color="000000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000000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000000" w:themeFill="text1" w:themeFillShade="BF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C4C74" w:themeFill="accent1" w:themeFillShade="99"/>
      </w:tcPr>
    </w:tblStylePr>
    <w:tblStylePr w:type="band1Vert">
      <w:tblPr/>
      <w:tcPr>
        <w:shd w:val="clear" w:color="000000" w:fill="B8CCE4" w:themeFill="accent1" w:themeFillTint="66"/>
      </w:tcPr>
    </w:tblStylePr>
    <w:tblStylePr w:type="band1Horz">
      <w:tblPr/>
      <w:tcPr>
        <w:shd w:val="clear" w:color="000000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772C2A" w:themeFill="accent2" w:themeFillShade="99"/>
      </w:tcPr>
    </w:tblStylePr>
    <w:tblStylePr w:type="band1Vert">
      <w:tblPr/>
      <w:tcPr>
        <w:shd w:val="clear" w:color="000000" w:fill="E5B8B7" w:themeFill="accent2" w:themeFillTint="66"/>
      </w:tcPr>
    </w:tblStylePr>
    <w:tblStylePr w:type="band1Horz">
      <w:tblPr/>
      <w:tcPr>
        <w:shd w:val="clear" w:color="000000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5E7530" w:themeFill="accent3" w:themeFillShade="99"/>
      </w:tcPr>
    </w:tblStylePr>
    <w:tblStylePr w:type="band1Vert">
      <w:tblPr/>
      <w:tcPr>
        <w:shd w:val="clear" w:color="000000" w:fill="D6E3BC" w:themeFill="accent3" w:themeFillTint="66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4C3B62" w:themeFill="accent4" w:themeFillShade="99"/>
      </w:tcPr>
    </w:tblStylePr>
    <w:tblStylePr w:type="band1Vert">
      <w:tblPr/>
      <w:tcPr>
        <w:shd w:val="clear" w:color="000000" w:fill="CCC0D9" w:themeFill="accent4" w:themeFillTint="66"/>
      </w:tcPr>
    </w:tblStylePr>
    <w:tblStylePr w:type="band1Horz">
      <w:tblPr/>
      <w:tcPr>
        <w:shd w:val="clear" w:color="000000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276A7C" w:themeFill="accent5" w:themeFillShade="99"/>
      </w:tcPr>
    </w:tblStylePr>
    <w:tblStylePr w:type="band1Vert">
      <w:tblPr/>
      <w:tcPr>
        <w:shd w:val="clear" w:color="000000" w:fill="B6DDE8" w:themeFill="accent5" w:themeFillTint="66"/>
      </w:tcPr>
    </w:tblStylePr>
    <w:tblStylePr w:type="band1Horz">
      <w:tblPr/>
      <w:tcPr>
        <w:shd w:val="clear" w:color="000000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000000"/>
        </w:tcBorders>
        <w:shd w:val="clear" w:color="000000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000000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B65608" w:themeFill="accent6" w:themeFillShade="99"/>
      </w:tcPr>
    </w:tblStylePr>
    <w:tblStylePr w:type="band1Vert">
      <w:tblPr/>
      <w:tcPr>
        <w:shd w:val="clear" w:color="000000" w:fill="FBD4B4" w:themeFill="accent6" w:themeFillTint="66"/>
      </w:tcPr>
    </w:tblStylePr>
    <w:tblStylePr w:type="band1Horz">
      <w:tblPr/>
      <w:tcPr>
        <w:shd w:val="clear" w:color="000000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C0C0C0" w:themeFill="text1" w:themeFillTint="3F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3DFEE" w:themeFill="accent1" w:themeFillTint="3F"/>
      </w:tcPr>
    </w:tblStylePr>
    <w:tblStylePr w:type="band1Horz">
      <w:tblPr/>
      <w:tcPr>
        <w:shd w:val="clear" w:color="000000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FD3D2" w:themeFill="accent2" w:themeFillTint="3F"/>
      </w:tcPr>
    </w:tblStylePr>
    <w:tblStylePr w:type="band1Horz">
      <w:tblPr/>
      <w:tcPr>
        <w:shd w:val="clear" w:color="000000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E6EED5" w:themeFill="accent3" w:themeFillTint="3F"/>
      </w:tcPr>
    </w:tblStylePr>
    <w:tblStylePr w:type="band1Horz">
      <w:tblPr/>
      <w:tcPr>
        <w:shd w:val="clear" w:color="000000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FD8E8" w:themeFill="accent4" w:themeFillTint="3F"/>
      </w:tcPr>
    </w:tblStylePr>
    <w:tblStylePr w:type="band1Horz">
      <w:tblPr/>
      <w:tcPr>
        <w:shd w:val="clear" w:color="000000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D2EAF1" w:themeFill="accent5" w:themeFillTint="3F"/>
      </w:tcPr>
    </w:tblStylePr>
    <w:tblStylePr w:type="band1Horz">
      <w:tblPr/>
      <w:tcPr>
        <w:shd w:val="clear" w:color="000000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000000"/>
        </w:tcBorders>
        <w:shd w:val="clear" w:color="000000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000000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000000" w:fill="FDE4D0" w:themeFill="accent6" w:themeFillTint="3F"/>
      </w:tcPr>
    </w:tblStylePr>
    <w:tblStylePr w:type="band1Horz">
      <w:tblPr/>
      <w:tcPr>
        <w:shd w:val="clear" w:color="000000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CCCCCC" w:themeFill="text1" w:themeFillTint="33"/>
    </w:tcPr>
    <w:tblStylePr w:type="firstRow">
      <w:rPr>
        <w:b/>
        <w:bCs/>
      </w:rPr>
      <w:tblPr/>
      <w:tcPr>
        <w:shd w:val="clear" w:color="000000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999999" w:themeFill="text1" w:themeFillTint="66"/>
      </w:tcPr>
    </w:tblStylePr>
    <w:tblStylePr w:type="firstCol">
      <w:rPr>
        <w:color w:val="000000"/>
      </w:rPr>
      <w:tblPr/>
      <w:tcPr>
        <w:shd w:val="clear" w:color="000000" w:fill="000000" w:themeFill="text1" w:themeFillShade="BF"/>
      </w:tcPr>
    </w:tblStylePr>
    <w:tblStylePr w:type="lastCol">
      <w:rPr>
        <w:color w:val="000000"/>
      </w:rPr>
      <w:tblPr/>
      <w:tcPr>
        <w:shd w:val="clear" w:color="000000" w:fill="000000" w:themeFill="text1" w:themeFillShade="BF"/>
      </w:tcPr>
    </w:tblStylePr>
    <w:tblStylePr w:type="band1Vert">
      <w:tblPr/>
      <w:tcPr>
        <w:shd w:val="clear" w:color="000000" w:fill="808080" w:themeFill="text1" w:themeFillTint="7F"/>
      </w:tcPr>
    </w:tblStylePr>
    <w:tblStylePr w:type="band1Horz">
      <w:tblPr/>
      <w:tcPr>
        <w:shd w:val="clear" w:color="000000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BE5F1" w:themeFill="accent1" w:themeFillTint="33"/>
    </w:tcPr>
    <w:tblStylePr w:type="firstRow">
      <w:rPr>
        <w:b/>
        <w:bCs/>
      </w:rPr>
      <w:tblPr/>
      <w:tcPr>
        <w:shd w:val="clear" w:color="000000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000000" w:fill="B8CCE4" w:themeFill="accent1" w:themeFillTint="66"/>
      </w:tcPr>
    </w:tblStylePr>
    <w:tblStylePr w:type="firstCol">
      <w:rPr>
        <w:color w:val="000000"/>
      </w:rPr>
      <w:tblPr/>
      <w:tcPr>
        <w:shd w:val="clear" w:color="000000" w:fill="365F91" w:themeFill="accent1" w:themeFillShade="BF"/>
      </w:tcPr>
    </w:tblStylePr>
    <w:tblStylePr w:type="lastCol">
      <w:rPr>
        <w:color w:val="000000"/>
      </w:rPr>
      <w:tblPr/>
      <w:tcPr>
        <w:shd w:val="clear" w:color="000000" w:fill="365F91" w:themeFill="accent1" w:themeFillShade="BF"/>
      </w:tcPr>
    </w:tblStylePr>
    <w:tblStylePr w:type="band1Vert">
      <w:tblPr/>
      <w:tcPr>
        <w:shd w:val="clear" w:color="000000" w:fill="A7BFDE" w:themeFill="accent1" w:themeFillTint="7F"/>
      </w:tcPr>
    </w:tblStylePr>
    <w:tblStylePr w:type="band1Horz">
      <w:tblPr/>
      <w:tcPr>
        <w:shd w:val="clear" w:color="000000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2DBDB" w:themeFill="accent2" w:themeFillTint="33"/>
    </w:tcPr>
    <w:tblStylePr w:type="firstRow">
      <w:rPr>
        <w:b/>
        <w:bCs/>
      </w:rPr>
      <w:tblPr/>
      <w:tcPr>
        <w:shd w:val="clear" w:color="000000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000000" w:fill="E5B8B7" w:themeFill="accent2" w:themeFillTint="66"/>
      </w:tcPr>
    </w:tblStylePr>
    <w:tblStylePr w:type="firstCol">
      <w:rPr>
        <w:color w:val="000000"/>
      </w:rPr>
      <w:tblPr/>
      <w:tcPr>
        <w:shd w:val="clear" w:color="000000" w:fill="943634" w:themeFill="accent2" w:themeFillShade="BF"/>
      </w:tcPr>
    </w:tblStylePr>
    <w:tblStylePr w:type="lastCol">
      <w:rPr>
        <w:color w:val="000000"/>
      </w:rPr>
      <w:tblPr/>
      <w:tcPr>
        <w:shd w:val="clear" w:color="000000" w:fill="943634" w:themeFill="accent2" w:themeFillShade="BF"/>
      </w:tcPr>
    </w:tblStylePr>
    <w:tblStylePr w:type="band1Vert">
      <w:tblPr/>
      <w:tcPr>
        <w:shd w:val="clear" w:color="000000" w:fill="DFA7A6" w:themeFill="accent2" w:themeFillTint="7F"/>
      </w:tcPr>
    </w:tblStylePr>
    <w:tblStylePr w:type="band1Horz">
      <w:tblPr/>
      <w:tcPr>
        <w:shd w:val="clear" w:color="000000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AF1DD" w:themeFill="accent3" w:themeFillTint="33"/>
    </w:tcPr>
    <w:tblStylePr w:type="firstRow">
      <w:rPr>
        <w:b/>
        <w:bCs/>
      </w:rPr>
      <w:tblPr/>
      <w:tcPr>
        <w:shd w:val="clear" w:color="000000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000000" w:fill="D6E3BC" w:themeFill="accent3" w:themeFillTint="66"/>
      </w:tcPr>
    </w:tblStylePr>
    <w:tblStylePr w:type="firstCol">
      <w:rPr>
        <w:color w:val="000000"/>
      </w:rPr>
      <w:tblPr/>
      <w:tcPr>
        <w:shd w:val="clear" w:color="000000" w:fill="76923C" w:themeFill="accent3" w:themeFillShade="BF"/>
      </w:tcPr>
    </w:tblStylePr>
    <w:tblStylePr w:type="lastCol">
      <w:rPr>
        <w:color w:val="000000"/>
      </w:rPr>
      <w:tblPr/>
      <w:tcPr>
        <w:shd w:val="clear" w:color="000000" w:fill="76923C" w:themeFill="accent3" w:themeFillShade="BF"/>
      </w:tcPr>
    </w:tblStylePr>
    <w:tblStylePr w:type="band1Vert">
      <w:tblPr/>
      <w:tcPr>
        <w:shd w:val="clear" w:color="000000" w:fill="CDDDAC" w:themeFill="accent3" w:themeFillTint="7F"/>
      </w:tcPr>
    </w:tblStylePr>
    <w:tblStylePr w:type="band1Horz">
      <w:tblPr/>
      <w:tcPr>
        <w:shd w:val="clear" w:color="000000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E5DFEC" w:themeFill="accent4" w:themeFillTint="33"/>
    </w:tcPr>
    <w:tblStylePr w:type="firstRow">
      <w:rPr>
        <w:b/>
        <w:bCs/>
      </w:rPr>
      <w:tblPr/>
      <w:tcPr>
        <w:shd w:val="clear" w:color="000000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000000" w:fill="CCC0D9" w:themeFill="accent4" w:themeFillTint="66"/>
      </w:tcPr>
    </w:tblStylePr>
    <w:tblStylePr w:type="firstCol">
      <w:rPr>
        <w:color w:val="000000"/>
      </w:rPr>
      <w:tblPr/>
      <w:tcPr>
        <w:shd w:val="clear" w:color="000000" w:fill="5F497A" w:themeFill="accent4" w:themeFillShade="BF"/>
      </w:tcPr>
    </w:tblStylePr>
    <w:tblStylePr w:type="lastCol">
      <w:rPr>
        <w:color w:val="000000"/>
      </w:rPr>
      <w:tblPr/>
      <w:tcPr>
        <w:shd w:val="clear" w:color="000000" w:fill="5F497A" w:themeFill="accent4" w:themeFillShade="BF"/>
      </w:tcPr>
    </w:tblStylePr>
    <w:tblStylePr w:type="band1Vert">
      <w:tblPr/>
      <w:tcPr>
        <w:shd w:val="clear" w:color="000000" w:fill="BFB1D0" w:themeFill="accent4" w:themeFillTint="7F"/>
      </w:tcPr>
    </w:tblStylePr>
    <w:tblStylePr w:type="band1Horz">
      <w:tblPr/>
      <w:tcPr>
        <w:shd w:val="clear" w:color="000000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DAEEF3" w:themeFill="accent5" w:themeFillTint="33"/>
    </w:tcPr>
    <w:tblStylePr w:type="firstRow">
      <w:rPr>
        <w:b/>
        <w:bCs/>
      </w:rPr>
      <w:tblPr/>
      <w:tcPr>
        <w:shd w:val="clear" w:color="000000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000000" w:fill="B6DDE8" w:themeFill="accent5" w:themeFillTint="66"/>
      </w:tcPr>
    </w:tblStylePr>
    <w:tblStylePr w:type="firstCol">
      <w:rPr>
        <w:color w:val="000000"/>
      </w:rPr>
      <w:tblPr/>
      <w:tcPr>
        <w:shd w:val="clear" w:color="000000" w:fill="31849B" w:themeFill="accent5" w:themeFillShade="BF"/>
      </w:tcPr>
    </w:tblStylePr>
    <w:tblStylePr w:type="lastCol">
      <w:rPr>
        <w:color w:val="000000"/>
      </w:rPr>
      <w:tblPr/>
      <w:tcPr>
        <w:shd w:val="clear" w:color="000000" w:fill="31849B" w:themeFill="accent5" w:themeFillShade="BF"/>
      </w:tcPr>
    </w:tblStylePr>
    <w:tblStylePr w:type="band1Vert">
      <w:tblPr/>
      <w:tcPr>
        <w:shd w:val="clear" w:color="000000" w:fill="A5D5E2" w:themeFill="accent5" w:themeFillTint="7F"/>
      </w:tcPr>
    </w:tblStylePr>
    <w:tblStylePr w:type="band1Horz">
      <w:tblPr/>
      <w:tcPr>
        <w:shd w:val="clear" w:color="000000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000000" w:fill="FDE9D9" w:themeFill="accent6" w:themeFillTint="33"/>
    </w:tcPr>
    <w:tblStylePr w:type="firstRow">
      <w:rPr>
        <w:b/>
        <w:bCs/>
      </w:rPr>
      <w:tblPr/>
      <w:tcPr>
        <w:shd w:val="clear" w:color="000000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000000" w:fill="FBD4B4" w:themeFill="accent6" w:themeFillTint="66"/>
      </w:tcPr>
    </w:tblStylePr>
    <w:tblStylePr w:type="firstCol">
      <w:rPr>
        <w:color w:val="000000"/>
      </w:rPr>
      <w:tblPr/>
      <w:tcPr>
        <w:shd w:val="clear" w:color="000000" w:fill="E36C0A" w:themeFill="accent6" w:themeFillShade="BF"/>
      </w:tcPr>
    </w:tblStylePr>
    <w:tblStylePr w:type="lastCol">
      <w:rPr>
        <w:color w:val="000000"/>
      </w:rPr>
      <w:tblPr/>
      <w:tcPr>
        <w:shd w:val="clear" w:color="000000" w:fill="E36C0A" w:themeFill="accent6" w:themeFillShade="BF"/>
      </w:tcPr>
    </w:tblStylePr>
    <w:tblStylePr w:type="band1Vert">
      <w:tblPr/>
      <w:tcPr>
        <w:shd w:val="clear" w:color="000000" w:fill="FBCAA2" w:themeFill="accent6" w:themeFillTint="7F"/>
      </w:tcPr>
    </w:tblStylePr>
    <w:tblStylePr w:type="band1Horz">
      <w:tblPr/>
      <w:tcPr>
        <w:shd w:val="clear" w:color="000000" w:fill="FBCAA2" w:themeFill="accent6" w:themeFillTint="7F"/>
      </w:tcPr>
    </w:tblStylePr>
  </w:style>
  <w:style w:type="paragraph" w:customStyle="1" w:styleId="GOSTList">
    <w:name w:val="GOST List"/>
    <w:pPr>
      <w:spacing w:before="0" w:after="0" w:line="360" w:lineRule="auto"/>
      <w:ind w:hanging="357" w:left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Quote">
    <w:name w:val="GOST Quote"/>
    <w:pPr>
      <w:spacing w:before="0" w:after="0" w:line="360" w:lineRule="auto"/>
      <w:ind w:left="709" w:firstLine="0"/>
      <w:jc w:val="both"/>
    </w:pPr>
    <w:rPr>
      <w:rFonts w:ascii="Times New Roman" w:hAnsi="Times New Roman" w:eastAsia="Times New Roman" w:cs="Times New Roman"/>
      <w:b w:val="0"/>
      <w:i/>
      <w:color w:val="000000"/>
      <w:sz w:val="28"/>
      <w:u w:val="none"/>
    </w:rPr>
  </w:style>
  <w:style w:type="paragraph" w:customStyle="1" w:styleId="GOSTCode">
    <w:name w:val="GOST Code"/>
    <w:pPr>
      <w:spacing w:before="60" w:after="60" w:line="240" w:lineRule="auto"/>
      <w:ind w:left="709" w:firstLine="0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Caption">
    <w:name w:val="GOST Caption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Source">
    <w:name w:val="GOST Figure Source"/>
    <w:pPr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FigureReference">
    <w:name w:val="GOST Figur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TableCaption">
    <w:name w:val="GOST Table Caption"/>
    <w:pPr>
      <w:keepNext/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  <w:u w:val="none"/>
    </w:rPr>
  </w:style>
  <w:style w:type="paragraph" w:customStyle="1" w:styleId="GOSTTableReference">
    <w:name w:val="GOST Table Reference"/>
    <w:pPr>
      <w:keepNext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CoverMetadata">
    <w:name w:val="GOST Cover Metadata"/>
    <w:pPr>
      <w:spacing w:before="0" w:after="12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  <w:style w:type="paragraph" w:customStyle="1" w:styleId="GOSTNavigation">
    <w:name w:val="GOST Navigation"/>
    <w:pPr>
      <w:spacing w:before="0" w:after="60" w:line="240" w:lineRule="auto"/>
      <w:ind w:firstLine="0"/>
    </w:pPr>
    <w:rPr>
      <w:rFonts w:ascii="Times New Roman" w:hAnsi="Times New Roman" w:eastAsia="Times New Roman" w:cs="Times New Roman"/>
      <w:b w:val="0"/>
      <w:i w:val="0"/>
      <w:color w:val="000000"/>
      <w:sz w:val="28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yperlink" Target="../contracts/openapi.yaml" TargetMode="External"/><Relationship Id="rId12" Type="http://schemas.openxmlformats.org/officeDocument/2006/relationships/hyperlink" Target="api-examples.http" TargetMode="External"/><Relationship Id="rId13" Type="http://schemas.openxmlformats.org/officeDocument/2006/relationships/hyperlink" Target="../README.md" TargetMode="External"/><Relationship Id="rId14" Type="http://schemas.openxmlformats.org/officeDocument/2006/relationships/hyperlink" Target="https://github.com/punkpsyh-hash/Fsp/blob/main/docs/44-deployment-and-operations.md" TargetMode="External"/><Relationship Id="rId15" Type="http://schemas.openxmlformats.org/officeDocument/2006/relationships/hyperlink" Target="https://github.com/punkpsyh-hash/Fsp/blob/main/docs/50-completion-conformance.md" TargetMode="External"/><Relationship Id="rId16" Type="http://schemas.openxmlformats.org/officeDocument/2006/relationships/hyperlink" Target="../requirements/examples/README.md" TargetMode="External"/><Relationship Id="rId17" Type="http://schemas.openxmlformats.org/officeDocument/2006/relationships/hyperlink" Target="https://github.com/punkpsyh-hash/Fsp/blob/main/docs/48-release-acceptance.md" TargetMode="External"/><Relationship Id="rId18" Type="http://schemas.openxmlformats.org/officeDocument/2006/relationships/hyperlink" Target="https://github.com/punkpsyh-hash/Fsp/blob/main/docs/45-ai-answer-check-and-training-package.md" TargetMode="External"/><Relationship Id="rId19" Type="http://schemas.openxmlformats.org/officeDocument/2006/relationships/image" Target="media/image1.png"/><Relationship Id="rId2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Практическое руководство по локальному API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