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Проектный отчёт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Дата редакции: 11 октября 2026 года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Статус: редактируемый комплект сопроводительных материалов проекта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Содержание включает текущие и исторические документы; исходные даты и статусы сохранены.</w:t>
      </w:r>
    </w:p>
    <w:p>
      <w:pPr>
        <w:sectPr>
          <w:footerReference w:type="default" r:id="rId9"/>
          <w:headerReference w:type="default" r:id="rId20"/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</w:pPr>
      <w:bookmarkStart w:id="1" w:name="doc_57"/>
      <w:r>
        <w:rPr>
          <w:rFonts w:ascii="Times New Roman" w:hAnsi="Times New Roman" w:eastAsia="Times New Roman" w:cs="Times New Roman"/>
          <w:color w:val="000000"/>
          <w:u w:val="none"/>
        </w:rPr>
        <w:t>57. Проектный отчёт «ФСП · Карьерный профиль»</w:t>
      </w:r>
      <w:bookmarkEnd w:id="1"/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Дата редакции: 11 октября 2026 года. Проект представляет собой конкурсный веб-сервис на синтетических данных. Фактические результаты в отчёте относятся к принятому срезу </w:t>
      </w:r>
      <w:r>
        <w:rPr>
          <w:rFonts w:ascii="Times New Roman" w:hAnsi="Times New Roman" w:eastAsia="Times New Roman" w:cs="Times New Roman"/>
          <w:color w:val="000000"/>
          <w:u w:val="none"/>
        </w:rPr>
        <w:t>58105a25a921f80a46a736b32847a36bc025740e</w:t>
      </w:r>
      <w:r>
        <w:rPr>
          <w:rFonts w:ascii="Times New Roman" w:hAnsi="Times New Roman" w:eastAsia="Times New Roman" w:cs="Times New Roman"/>
          <w:color w:val="000000"/>
          <w:u w:val="none"/>
        </w:rPr>
        <w:t>; публичное развёртывание и работа с реальными персональными данными в объём не входят.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1. Проблема и продуктовая гипотеза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Универсальные площадки найма вынуждают работодателя фильтровать резюме по самоописанию и ключевым словам. Для ИТ этого недостаточно: одинаковое название технологии не показывает уровень владения, а перечень мест работы не даёт сопоставимого сигнала о практических навыках. Кандидат, в свою очередь, откликается во множество компаний без ясной обратной связи и без способа показать подтверждённый спортивный или практический результат.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Первичное </w:t>
      </w:r>
      <w:hyperlink r:id="rId1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техническое задание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предлагает изменить направление инициативы: сначала платформа распределяет кандидатов по подтверждённым категориям, затем работодатель ищет нужную категорию и сам выходит на конкретного человека с предложением и зарплатой. Это не витрина спарсенных вакансий и не ещё один поиск по резюме. Продуктовая гипотеза состоит в том, что подтверждённая категория, жёсткие фильтры и объяснение позиции кандидата сокращают нерелевантный просмотр, а адресное открытие контакта сохраняет контроль кандидата.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Главный экран и позиционирование сервиса показаны на рисунке 1. Это снимок реального интерфейса локального синтетического стенда, а не рекламный макет и не фотография команды.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1" name="landing" descr="Начальная страница и выбор демонстрационного кабине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1 — Начальная страница и выбор демонстрационного кабинета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2. Как требования превратились в решения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Основные требования взяты из ТЗ от 6 октября и </w:t>
      </w:r>
      <w:hyperlink r:id="rId13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письменных ответов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от 8 октября 2026 года. Ответы уточнили несколько принципиальных решений.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 — Как требования превратились в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Требование или уточнение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Проектное решение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Категория основана на специализации и грейде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Категорию задаёт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specialization + confirmed_grade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; стаж хранится отдельно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Грейд должен подтверждаться тестом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Самооценка остаётся заявкой, опубликованный подтверждённый грейд появляется по серверному результату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Одинаковый пул заданий быстро распространяется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Для категории действует общий blueprint, но формы параметризуются, версионируются и сохраняются как серверные snapshots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Провал не должен автоматически понижать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Ранее подтверждённый грейд сохраняется; кандидат сам выбирает тест уровня ниже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ФСП усиливает профиль, но не заменяет тест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Достижения дают ограниченный бонус только внутри подтверждённой категории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Контакт закрыт до согласованного события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Компания получает адресный доступ после принятия приглашения или отклика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Для MVP важнее полный путь, чем широкий каталог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Реализованы четыре специализации и два грейда; оценка сосредоточена на механике</w:t>
            </w:r>
          </w:p>
        </w:tc>
      </w:tr>
      <w:tr>
        <w:trPr>
          <w:cantSplit/>
        </w:trPr>
        <w:tc>
          <w:tcPr>
            <w:tcW w:type="dxa" w:w="46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Собственных датасетов нет</w:t>
            </w:r>
          </w:p>
        </w:tc>
        <w:tc>
          <w:tcPr>
            <w:tcW w:type="dxa" w:w="472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Все демонстрационные кандидаты, компании, вакансии и события синтетические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>ТЗ допускает одну категорию для MVP и не требует промышленной ATS-интеграции, абсолютной защиты от списывания или облачной модели. Поэтому проект сначала обеспечивает полный работающий путь, а дополнительные функции не подменяют обязательное ядро.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3. Состав продукта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Сервис объединяет два кабинета. Кандидат регистрируется, заполняет профиль, выбирает предполагаемый грейд, проходит оценку, публикуется, получает приглашения и при желании откликается на вакансии. Работодатель описывает компанию и потребность, получает подборку, просматривает подтверждённые сигналы, добавляет кандидата в shortlist и отправляет приглашение с зарплатой.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Дополнительный контур включает вакансии и отклики, сообщения после открытия контакта, регулярные короткие задания, банк практических заданий, конструктор и импорт, безопасное исполнение Python/JavaScript/SQLite и необязательную локальную генерацию черновиков. Эти функции усиливают демонстрацию, но не изменяют основной смысл категории и обратного контакта.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4. Путь кандидата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После подтверждения email кандидат заполняет профиль вручную либо загружает текстовый PDF для ограниченного распознавания. Preview переносит только разрешённые поля и не перезаписывает изменения, внесённые пользователем во время ожидания ответа. OCR и извлечение произвольного оформления не заявляются: человек проверяет распознанные данные перед сохранением.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В профиле отдельно показываются заявленный и подтверждённый грейды, навыки, результат оценки, опыт, состояния ФСП и активность. Текущий экран кандидата показан на рисунке 2. На снимке используются синтетические данные, поэтому он демонстрирует композицию и действия, а не сведения реального человека.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2" name="candidate-profile" descr="Профиль кандидата и источники сведений о навыка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2 — Профиль кандидата и источники сведений о навыках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Далее кандидат выбирает Backend, Frontend, QA или Design и уровень Junior либо Middle. Тест проверяет три навыка в 12 заданиях. Публичная форма не раскрывает эталон, объяснение и параметры семейства. Сервер считает балл, а при пограничном результате выдаёт вторую форму. Неуспешная попытка не стирает прежний подтверждённый грейд.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После успешной оценки кандидат явно разрешает публикацию. Он видит входящие приглашения с компанией, описанием и диапазоном зарплаты, принимает или отклоняет их. Кандидат также может открыть опубликованную вакансию и отправить собственный отклик — этот дополнительный путь не отменяет основную обратную механику.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5. Путь работодателя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Работодатель создаёт профиль компании и формулирует потребность: специализацию, грейд, обязательные и желательные навыки, формат работы и бюджет. Система сначала применяет жёсткие фильтры, затем ранжирует оставшихся кандидатов и объясняет каждый компонент балла. Нельзя «перекупить» баллами отсутствие обязательного навыка, неподходящий грейд, формат или зарплатную границу.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Экран подбора показан на рисунке 3. Снимок должен читаться как пример работы фильтров, компонентов и действий с синтетическими профилями, а не как измерение качества найма на реальном рынке.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3" name="employer-search" descr="Банк кандидатов в кабинете работодател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r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3 — Банк кандидатов в кабинете работодателя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Работодатель может сохранить snapshot поиска, сформировать shortlist и направить предложение. Вакансия в приглашении необязательна: персональное предложение содержит самостоятельное описание и обязательный диапазон зарплаты в RUB. Повтор с тем же idempotency key не создаёт дубль. После согласия кандидата появляется контакт и открывается переписка.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6. Почему подбор остаётся объяснимым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Формула ранжирования использует четыре прозрачных компонента: результат теста даёт до 45 пунктов, совпадение навыков — до 35, сигнал ФСП — до 10, актуальность — до 10. Перед формулой отрабатывают жёсткие фильтры по публикации, категории, обязательным навыкам, формату и бюджету. Пользователь видит совпавшие и отсутствующие навыки и вклад компонентов.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Такой подход выбран вместо непрозрачной модели, потому что у проекта нет эталонного датасета реального найма. Программный benchmark может показать детерминизм и порядок на авторском наборе, но не может доказать рост успешных наймов. Для промышленного применения веса потребуют пилота, экспертной разметки и наблюдения за последствиями решения.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Спортивное достижение ФСП не присваивает грейд. Письменный ответ E08 подтверждает бонус внутри грейда и равный приоритет дисциплин; идея учитывать близость дисциплины специализации оставлена для будущего реального контракта данных. Отсутствие истории ФСП не ухудшает доступ к основному пути и не блокирует публикацию.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7. Устойчивость оценки и честные границы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Вместо одной общей формы система использует параметризованные семейства </w:t>
      </w:r>
      <w:r>
        <w:rPr>
          <w:rFonts w:ascii="Times New Roman" w:hAnsi="Times New Roman" w:eastAsia="Times New Roman" w:cs="Times New Roman"/>
          <w:color w:val="000000"/>
          <w:u w:val="none"/>
        </w:rPr>
        <w:t>scenarios-v6</w:t>
      </w:r>
      <w:r>
        <w:rPr>
          <w:rFonts w:ascii="Times New Roman" w:hAnsi="Times New Roman" w:eastAsia="Times New Roman" w:cs="Times New Roman"/>
          <w:color w:val="000000"/>
          <w:u w:val="none"/>
        </w:rPr>
        <w:t>, разные seeds и серверные snapshots. Ответы и объяснения не передаются до завершения. Сигналы темпа, копирования, массовой отправки и поведения при потере фокуса могут направить попытку на повторную проверку. Клиент отправляет события через ограниченную очередь, но итоговое решение принимает сервер.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Синтетическая приёмка сформировала 800 основных и 800 подтверждающих форм для четырёх направлений и двух уровней. Из 32 000 переносов ответов четыре дали сырой проход, но ни один не завершился подтверждением после дополнительной policy. Отдельный oracle завершил 4 800 случаев без ошибки. Это проверка устойчивости конкретных семейств и правил. Она не заменяет независимое test-retest исследование на кандидатах и не подтверждает, что пороги 70/80 точно соответствуют рынку.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Design включён как дополнительное вычислимое направление по условию ответа WA.2. Тест проверяет формализуемые UX/UI/HTML-знания, но не оценивает вкус, портфолио и визуальное качество работы. Ширина справочника не используется как доказательство зрелости продукта.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8. Контакт и доверие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Публичный профиль использует псевдоним и скрывает контакт. Согласие на обработку, публикацию и адресное открытие фиксируется отдельно. Только компания с принятым приглашением или активным откликом получает контакт; кандидат может отозвать grant. Проверка выполняется в API и PDF-экспорте, поэтому обход через другую экранную форму не должен раскрыть поле.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Компания в демонстрационном продукте помечена как </w:t>
      </w:r>
      <w:r>
        <w:rPr>
          <w:rFonts w:ascii="Times New Roman" w:hAnsi="Times New Roman" w:eastAsia="Times New Roman" w:cs="Times New Roman"/>
          <w:color w:val="000000"/>
          <w:u w:val="none"/>
        </w:rPr>
        <w:t>unverified</w:t>
      </w:r>
      <w:r>
        <w:rPr>
          <w:rFonts w:ascii="Times New Roman" w:hAnsi="Times New Roman" w:eastAsia="Times New Roman" w:cs="Times New Roman"/>
          <w:color w:val="000000"/>
          <w:u w:val="none"/>
        </w:rPr>
        <w:t>. Защита от фиктивных работодателей и внешний источник доверия остаются направлением развития. Продукт не создаёт ложное ощущение, что синтетический seed-аккаунт или локальная почта подтверждают личность.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9. Практика и ИИ без автоматического присвоения грейда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Работодатель может направить короткое адресное задание и вручную оценить ответ. Отдельные практические банки поддерживают тестовые вопросы и исполняемые задачи Python, JavaScript и SQLite. Код выполняется в одноразовой VM без сети. Результат добавляет свежий сигнал к профилю, но не повышает глобальный грейд — этот принцип сохраняет различие между первичной сопоставимой оценкой и заданием конкретной компании.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ИИ-контур опционален. Принята базовая открытая Qwen3-4B без адаптера: обученные варианты проиграли базе на новых вычислимых задачах. Модель создаёт приватный черновик, сервер проверяет строгую схему, а автор редактирует и подтверждает публикацию. Для открытого ответа модель даёт только подсказку.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Живой прогон подтвердил четыре типа генерации и полный путь до решения автора. Одновременно он показал смысловую ошибку: ИИ предложил 65 баллов вместо подтверждённых автором 100 и оставил опечатку в рубрике. Поэтому проект не выдаёт структурный успех генерации за экспертную корректность и не разрешает модели менять профиль кандидата.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10. Техническая готовность и результаты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Принятый релиз проверен на обеих поддерживаемых СУБД и в трёх браузерных движках. Финальный набор дал 410 passed и 2 skipped на SQLite, 411 passed и 1 skipped на PostgreSQL 16, а браузерная матрица — 132 из 132 сценариев. Контракт содержал 87 путей и 100 операций. VM-runner завершил 28 из 28 проверок в TCG и 6 из 6 на NAS с KVM. Живой приватный NAS→GPU контур выполнил четыре типа генерации, UI smoke на ширинах 320, 768 и 1440 и восстановление tunnel.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Доказательства, команды, skips и длительности опубликованы в </w:t>
      </w:r>
      <w:hyperlink r:id="rId16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приёмке выпуска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hyperlink r:id="rId17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матрице соответствия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 Числа относятся к зафиксированным срезам исходного кода и среды выполнения и не переносятся автоматически на любое последующее изменение.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Исторический полный прогон 10 октября — 363/364 теста и 126 браузерных сценариев — сохранён для истории, но не складывается с текущей приёмкой. Отдельная проверка инструкции нового компьютера из </w:t>
      </w:r>
      <w:hyperlink r:id="rId18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docs/54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выполнила 69 целевых тестов и TCG smoke 6/6. Она подтверждает загрузку, инициализацию, проверку готовности и чистый базовый стенд, а не является повтором полного набора 410/411/132.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11. Самостоятельный запуск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Базовый режим требует Git, Docker и Compose 2.24.4 или новее. Python, Node и PostgreSQL на хост не устанавливаются. После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./scripts/run.sh init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команды </w:t>
      </w:r>
      <w:r>
        <w:rPr>
          <w:rFonts w:ascii="Times New Roman" w:hAnsi="Times New Roman" w:eastAsia="Times New Roman" w:cs="Times New Roman"/>
          <w:color w:val="000000"/>
          <w:u w:val="none"/>
        </w:rPr>
        <w:t>start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check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поднимают БД, API и runner; приложение открывается на loopback. При отсутствии KVM используется более медленный TCG, сохраняя VM-границу.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Полный ИИ-режим дополнительно требует NVIDIA GPU. Модель загружается из закреплённого официального revision, файлы проверяются по SHA-256. Можно подключить собственный OpenAI-совместимый сервер, но одного текстового chat API недостаточно: нужен строгий </w:t>
      </w:r>
      <w:r>
        <w:rPr>
          <w:rFonts w:ascii="Times New Roman" w:hAnsi="Times New Roman" w:eastAsia="Times New Roman" w:cs="Times New Roman"/>
          <w:color w:val="000000"/>
          <w:u w:val="none"/>
        </w:rPr>
        <w:t>json_schema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корректный </w:t>
      </w:r>
      <w:r>
        <w:rPr>
          <w:rFonts w:ascii="Times New Roman" w:hAnsi="Times New Roman" w:eastAsia="Times New Roman" w:cs="Times New Roman"/>
          <w:color w:val="000000"/>
          <w:u w:val="none"/>
        </w:rPr>
        <w:t>finish_reason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поддерживаемые лимиты. Проверенный порядок изложен в </w:t>
      </w:r>
      <w:hyperlink r:id="rId19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инструкции развёртывания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Репозиторий остаётся закрытым. В него не входят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>, ключи, веса, базы, backup, оригинальный XLSX с участниками, локальные закрытые наборы и GitHub workflows. Публичное развёртывание, предоставление доступа конкретному эксперту и лицензионное решение выполняются отдельно.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12. Что завершено и что требует следующего этапа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Завершён локальный конкурсный продукт с двумя кабинетами, подтверждением категории, объяснимым подбором, персональным приглашением, управляемым открытием контакта, вакансиями, практикой, сообщениями и воспроизводимым контейнерным запуском. Подготовлены OpenAPI, API-гайд, презентация, видео и инструкции.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Следующий этап должен опираться на новые внешние данные, а не на расширение демонстрационных заявлений: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u w:val="none"/>
        </w:rPr>
        <w:t>зарегистрировать собственный клиент ФСП ID и согласовать официальный контракт достижений;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u w:val="none"/>
        </w:rPr>
        <w:t>провести пилот с кандидатами и экспертами, зафиксировать выборку и измерить test-retest, разделяющую силу и соответствие уровням;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u w:val="none"/>
        </w:rPr>
        <w:t>откалибровать ranking по размеченным парам и проверить влияние на качество найма и справедливость выдачи;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u w:val="none"/>
        </w:rPr>
        <w:t>провести промышленное моделирование угроз, аудит 152-ФЗ, процессы удаления данных, мониторинг и восстановление;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u w:val="none"/>
        </w:rPr>
        <w:t>подключить доверенный реестр компаний и, при подтверждённой потребности, реальные ATS через версионированный адаптер;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u w:val="none"/>
        </w:rPr>
        <w:t>проверить эксплуатацию на инфраструктуре будущего оператора и согласовать лицензию и режим публикации.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13. Комплект сдачи и временный показ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Официальный шаблон PPTX получен от владельца и использован для новой презентации из 16 слайдов с заметками докладчика. Состав команды «Студия 37» перенесён из прошлой презентации; сторонние контакты и оригиналы шаблонов в Git не добавлены. Письменный комплект включает семь пар PDF и Word, реальные снимки экрана, подписи, схемы и исходные тексты. Источники и проверки сохраняются отдельно.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Для жюри подготовлен отдельный режим с синтетической базой, входом по паролю, защитой служебных маршрутов, отключёнными регистрацией, внешней почтой и импортом резюме. Полный локальный режим сохраняется. Политика данных и правила подбора показывают фактического владельца и контакт, предоставленные владельцем: Колесников Никита Юрьевич, inbox@nkolesnikov.ru. Размещение NAS в России подтверждено владельцем; временный статус не заменяет требований законодательства.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Поскольку WAN роутера NAS частный, выбран защищённый туннель к российскому VPS ru2. 11 октября домен https://fsptest.kolesnikovny.ru прошёл внешнюю HTTPS-проверку из 22 шагов; отдельный VM-runner — 28 проверок. Независимая проверка jury UI дала 9/9 сценариев на Chromium, Firefox и WebKit; локальный режим — 3/3. Видео и инструкция остаются резервом, как допускает § 5.2 ТЗ и ответ E10. ТЗ требует ссылку на код и не задаёт видимость GitHub; закрытый доступ выбран владельцем, доступ жюри предоставляется отдельно.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Инвентаризация сторонних компонентов и копии лицензий включены в комплект. Общая лицензия проекта не назначается автоматически. Правовая проверка и настройка транспорта описаны в документах 58–61; это не сертификат промышленной безопасности или юридического соответствия.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14. Заключение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Проект реализует смысловой центр задания: работодатель приходит не к потоку самоописанных откликов, а к категории кандидатов с подтверждённым тестом профилем и понятными основаниями ранжирования. Кандидат сохраняет право публикации и контроля контакта, а спортивные и практические сигналы дополняют, но не подменяют основную оценку.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Ценность текущего результата — в завершённом пользовательском пути и честно обозначенной доказательной базе. Система прошла значительный набор технических проверок, однако отчёт не называет их сертификацией, независимой психометрикой или доказательством эффективности найма. Это рабочая конкурсная версия, подготовленная к предметному пилоту и интеграционному обсуждению с ФСП.</w:t>
      </w:r>
    </w:p>
    <w:sectPr w:rsidR="00FC693F" w:rsidRPr="0006063C" w:rsidSect="00034616">
      <w:footerReference w:type="default" r:id="rId10"/>
      <w:pgSz w:w="11906" w:h="16838"/>
      <w:pgMar w:top="1134" w:right="850" w:bottom="1134" w:left="1701" w:header="720" w:footer="567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../requirements/&#1060;&#1057;&#1055;%20&#1089;&#1087;&#1077;&#1094;.%20&#1090;&#1088;&#1077;&#1082;%20&#1058;&#1047;.pdf" TargetMode="External"/><Relationship Id="rId12" Type="http://schemas.openxmlformats.org/officeDocument/2006/relationships/image" Target="media/image1.png"/><Relationship Id="rId13" Type="http://schemas.openxmlformats.org/officeDocument/2006/relationships/hyperlink" Target="../requirements/qa-written-fsp-2026.md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48-release-acceptance.md" TargetMode="External"/><Relationship Id="rId17" Type="http://schemas.openxmlformats.org/officeDocument/2006/relationships/hyperlink" Target="50-completion-conformance.md" TargetMode="External"/><Relationship Id="rId18" Type="http://schemas.openxmlformats.org/officeDocument/2006/relationships/hyperlink" Target="54-self-deployment-acceptance.md" TargetMode="External"/><Relationship Id="rId19" Type="http://schemas.openxmlformats.org/officeDocument/2006/relationships/hyperlink" Target="53-self-deployment.md" TargetMode="Externa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Проектный отчёт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