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 w:eastAsia="Times New Roman" w:cs="Times New Roman"/>
          <w:b/>
          <w:color w:val="000000"/>
          <w:sz w:val="28"/>
          <w:u w:val="none"/>
        </w:rPr>
        <w:t>Технический отчёт текущей реализации</w:t>
      </w:r>
    </w:p>
    <w:p>
      <w:pPr>
        <w:pStyle w:val="GOSTCoverMetadata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>Дата редакции: 11 октября 2026 года</w:t>
      </w:r>
    </w:p>
    <w:p>
      <w:pPr>
        <w:pStyle w:val="GOSTCoverMetadata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>Статус: редактируемый комплект сопроводительных материалов проекта</w:t>
      </w:r>
    </w:p>
    <w:p>
      <w:pPr>
        <w:pStyle w:val="GOSTCoverMetadata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>Содержание включает текущие и исторические документы; исходные даты и статусы сохранены.</w:t>
      </w:r>
    </w:p>
    <w:p>
      <w:pPr>
        <w:sectPr>
          <w:footerReference w:type="default" r:id="rId9"/>
          <w:headerReference w:type="default" r:id="rId20"/>
          <w:pgSz w:w="11906" w:h="16838"/>
          <w:pgMar w:top="1134" w:right="850" w:bottom="1134" w:left="1701" w:header="720" w:footer="567" w:gutter="0"/>
          <w:cols w:space="720"/>
          <w:docGrid w:linePitch="360"/>
        </w:sectPr>
      </w:pPr>
    </w:p>
    <w:p>
      <w:pPr>
        <w:pStyle w:val="Heading1"/>
      </w:pPr>
      <w:bookmarkStart w:id="1" w:name="doc_56"/>
      <w:r>
        <w:rPr>
          <w:rFonts w:ascii="Times New Roman" w:hAnsi="Times New Roman" w:eastAsia="Times New Roman" w:cs="Times New Roman"/>
          <w:color w:val="000000"/>
          <w:u w:val="none"/>
        </w:rPr>
        <w:t>56. Технический отчёт по системе «ФСП · Карьерный профиль»</w:t>
      </w:r>
      <w:bookmarkEnd w:id="1"/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Дата редакции: 11 октября 2026 года. Отчёт описывает конкурсный локальный продукт на синтетических данных и доказательства, полученные для принятого среза </w:t>
      </w:r>
      <w:r>
        <w:rPr>
          <w:rFonts w:ascii="Times New Roman" w:hAnsi="Times New Roman" w:eastAsia="Times New Roman" w:cs="Times New Roman"/>
          <w:color w:val="000000"/>
          <w:u w:val="none"/>
        </w:rPr>
        <w:t>58105a25a921f80a46a736b32847a36bc025740e</w:t>
      </w:r>
      <w:r>
        <w:rPr>
          <w:rFonts w:ascii="Times New Roman" w:hAnsi="Times New Roman" w:eastAsia="Times New Roman" w:cs="Times New Roman"/>
          <w:color w:val="000000"/>
          <w:u w:val="none"/>
        </w:rPr>
        <w:t>. Текущая рабочая редакция документа не изменяет серверные правила этого среза.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1. Назначение, источники и границы отчёта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Система решает задачу обратного подбора ИТ-специалистов: кандидат подтверждает категорию тестом и публикует профиль, а работодатель описывает потребность, получает объяснимую подборку и направляет персональное предложение с диапазоном заработной платы. Контакт открывается конкретной компании после принятия приглашения либо после самостоятельного отклика кандидата.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Основание реализации — первичное </w:t>
      </w:r>
      <w:hyperlink r:id="rId11">
        <w:r>
          <w:rPr>
            <w:rFonts w:ascii="Times New Roman" w:hAnsi="Times New Roman" w:eastAsia="Times New Roman" w:cs="Times New Roman"/>
            <w:color w:val="000000"/>
            <w:u w:val="none"/>
          </w:rPr>
          <w:t xml:space="preserve">техническое задание</w:t>
        </w:r>
      </w:hyperlink>
      <w:r>
        <w:rPr>
          <w:rFonts w:ascii="Times New Roman" w:hAnsi="Times New Roman" w:eastAsia="Times New Roman" w:cs="Times New Roman"/>
          <w:color w:val="000000"/>
          <w:u w:val="none"/>
        </w:rPr>
        <w:t xml:space="preserve">, полученное 6 октября 2026 года, и </w:t>
      </w:r>
      <w:hyperlink r:id="rId12">
        <w:r>
          <w:rPr>
            <w:rFonts w:ascii="Times New Roman" w:hAnsi="Times New Roman" w:eastAsia="Times New Roman" w:cs="Times New Roman"/>
            <w:color w:val="000000"/>
            <w:u w:val="none"/>
          </w:rPr>
          <w:t xml:space="preserve">17 письменных ответов</w:t>
        </w:r>
      </w:hyperlink>
      <w:r>
        <w:rPr>
          <w:rFonts w:ascii="Times New Roman" w:hAnsi="Times New Roman" w:eastAsia="Times New Roman" w:cs="Times New Roman"/>
          <w:color w:val="000000"/>
          <w:u w:val="none"/>
        </w:rPr>
        <w:t xml:space="preserve">, полученных 8 октября без персональных данных участников. Актуальная матрица требований приведена в </w:t>
      </w:r>
      <w:hyperlink r:id="rId13">
        <w:r>
          <w:rPr>
            <w:rFonts w:ascii="Times New Roman" w:hAnsi="Times New Roman" w:eastAsia="Times New Roman" w:cs="Times New Roman"/>
            <w:color w:val="000000"/>
            <w:u w:val="none"/>
          </w:rPr>
          <w:t xml:space="preserve">docs/50</w:t>
        </w:r>
      </w:hyperlink>
      <w:r>
        <w:rPr>
          <w:rFonts w:ascii="Times New Roman" w:hAnsi="Times New Roman" w:eastAsia="Times New Roman" w:cs="Times New Roman"/>
          <w:color w:val="000000"/>
          <w:u w:val="none"/>
        </w:rPr>
        <w:t xml:space="preserve">, полный протокол принятого выпуска — в </w:t>
      </w:r>
      <w:hyperlink r:id="rId14">
        <w:r>
          <w:rPr>
            <w:rFonts w:ascii="Times New Roman" w:hAnsi="Times New Roman" w:eastAsia="Times New Roman" w:cs="Times New Roman"/>
            <w:color w:val="000000"/>
            <w:u w:val="none"/>
          </w:rPr>
          <w:t xml:space="preserve">docs/48</w:t>
        </w:r>
      </w:hyperlink>
      <w:r>
        <w:rPr>
          <w:rFonts w:ascii="Times New Roman" w:hAnsi="Times New Roman" w:eastAsia="Times New Roman" w:cs="Times New Roman"/>
          <w:color w:val="000000"/>
          <w:u w:val="none"/>
        </w:rPr>
        <w:t xml:space="preserve">, инструкция нового стенда и её отдельная проверка — в </w:t>
      </w:r>
      <w:hyperlink r:id="rId15">
        <w:r>
          <w:rPr>
            <w:rFonts w:ascii="Times New Roman" w:hAnsi="Times New Roman" w:eastAsia="Times New Roman" w:cs="Times New Roman"/>
            <w:color w:val="000000"/>
            <w:u w:val="none"/>
          </w:rPr>
          <w:t xml:space="preserve">docs/53</w:t>
        </w:r>
      </w:hyperlink>
      <w:r>
        <w:rPr>
          <w:rFonts w:ascii="Times New Roman" w:hAnsi="Times New Roman" w:eastAsia="Times New Roman" w:cs="Times New Roman"/>
          <w:color w:val="000000"/>
          <w:u w:val="none"/>
        </w:rPr>
        <w:t xml:space="preserve"> и </w:t>
      </w:r>
      <w:hyperlink r:id="rId16">
        <w:r>
          <w:rPr>
            <w:rFonts w:ascii="Times New Roman" w:hAnsi="Times New Roman" w:eastAsia="Times New Roman" w:cs="Times New Roman"/>
            <w:color w:val="000000"/>
            <w:u w:val="none"/>
          </w:rPr>
          <w:t xml:space="preserve">docs/54</w:t>
        </w:r>
      </w:hyperlink>
      <w:r>
        <w:rPr>
          <w:rFonts w:ascii="Times New Roman" w:hAnsi="Times New Roman" w:eastAsia="Times New Roman" w:cs="Times New Roman"/>
          <w:color w:val="000000"/>
          <w:u w:val="none"/>
        </w:rPr>
        <w:t>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Термин «подтверждённый грейд» означает уровень навыков, подтверждённый тестом, а не стаж работы. Пороги Junior/Middle, веса ранжирования, интервалы смены грейда и полоса повторной проверки являются решениями команды в пределах ТЗ. Синтетические проверки подтверждают работу этих правил в системе, но не психометрическую калибровку профессиональных уровней и не качество реального найма.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2. Компонентная архитектура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Архитектура разделена на веб-клиент, прикладной API, реляционное хранилище, изолированный исполнитель практических заданий и необязательный сервер языковой модели. Такое разделение сохраняет единый продуктовый контур и одновременно не передаёт исполнение пользовательского кода основному API.</w:t>
      </w:r>
    </w:p>
    <w:p>
      <w:pPr>
        <w:pStyle w:val="GOSTTableReference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>Сведения приведены в таблице 1.</w:t>
      </w:r>
    </w:p>
    <w:p>
      <w:pPr>
        <w:pStyle w:val="GOSTTableCaption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Таблица 1 — Компонентная архитектура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cantSplit/>
          <w:tblHeader w:val="true"/>
        </w:trPr>
        <w:tc>
          <w:tcPr>
            <w:tcW w:type="dxa" w:w="80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Компонент</w:t>
            </w:r>
          </w:p>
        </w:tc>
        <w:tc>
          <w:tcPr>
            <w:tcW w:type="dxa" w:w="427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Технология и роль</w:t>
            </w:r>
          </w:p>
        </w:tc>
        <w:tc>
          <w:tcPr>
            <w:tcW w:type="dxa" w:w="427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Граница ответственности</w:t>
            </w:r>
          </w:p>
        </w:tc>
      </w:tr>
      <w:tr>
        <w:trPr>
          <w:cantSplit/>
        </w:trPr>
        <w:tc>
          <w:tcPr>
            <w:tcW w:type="dxa" w:w="80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Web</w:t>
            </w:r>
          </w:p>
        </w:tc>
        <w:tc>
          <w:tcPr>
            <w:tcW w:type="dxa" w:w="427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React 19.3, TypeScript 7.0, Vite 8.3</w:t>
            </w:r>
          </w:p>
        </w:tc>
        <w:tc>
          <w:tcPr>
            <w:tcW w:type="dxa" w:w="427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Два ролевых кабинета, формы, очередь событий оценки, просмотр результатов и приглашений</w:t>
            </w:r>
          </w:p>
        </w:tc>
      </w:tr>
      <w:tr>
        <w:trPr>
          <w:cantSplit/>
        </w:trPr>
        <w:tc>
          <w:tcPr>
            <w:tcW w:type="dxa" w:w="80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API</w:t>
            </w:r>
          </w:p>
        </w:tc>
        <w:tc>
          <w:tcPr>
            <w:tcW w:type="dxa" w:w="427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FastAPI 0.142, Pydantic 2.13, SQLAlchemy 2.0</w:t>
            </w:r>
          </w:p>
        </w:tc>
        <w:tc>
          <w:tcPr>
            <w:tcW w:type="dxa" w:w="427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Аутентификация, роли, профили, тестирование, подбор, предложения, сообщения и контракты</w:t>
            </w:r>
          </w:p>
        </w:tc>
      </w:tr>
      <w:tr>
        <w:trPr>
          <w:cantSplit/>
        </w:trPr>
        <w:tc>
          <w:tcPr>
            <w:tcW w:type="dxa" w:w="80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Хранилище</w:t>
            </w:r>
          </w:p>
        </w:tc>
        <w:tc>
          <w:tcPr>
            <w:tcW w:type="dxa" w:w="427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PostgreSQL 16, Alembic; SQLite для облегчённых проверок</w:t>
            </w:r>
          </w:p>
        </w:tc>
        <w:tc>
          <w:tcPr>
            <w:tcW w:type="dxa" w:w="427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Пользователи, профили, попытки, согласия, вакансии, приглашения, банки заданий и аудит</w:t>
            </w:r>
          </w:p>
        </w:tc>
      </w:tr>
      <w:tr>
        <w:trPr>
          <w:cantSplit/>
        </w:trPr>
        <w:tc>
          <w:tcPr>
            <w:tcW w:type="dxa" w:w="80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Runner</w:t>
            </w:r>
          </w:p>
        </w:tc>
        <w:tc>
          <w:tcPr>
            <w:tcW w:type="dxa" w:w="427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Одноразовая Linux VM</w:t>
            </w:r>
          </w:p>
        </w:tc>
        <w:tc>
          <w:tcPr>
            <w:tcW w:type="dxa" w:w="427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Запуск Python, JavaScript и SQLite без переноса пользовательского кода в API</w:t>
            </w:r>
          </w:p>
        </w:tc>
      </w:tr>
      <w:tr>
        <w:trPr>
          <w:cantSplit/>
        </w:trPr>
        <w:tc>
          <w:tcPr>
            <w:tcW w:type="dxa" w:w="80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LLM</w:t>
            </w:r>
          </w:p>
        </w:tc>
        <w:tc>
          <w:tcPr>
            <w:tcW w:type="dxa" w:w="427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OpenAI-совместимый внутренний сервис, опционально Qwen3-4B</w:t>
            </w:r>
          </w:p>
        </w:tc>
        <w:tc>
          <w:tcPr>
            <w:tcW w:type="dxa" w:w="427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Только черновики заданий, объяснения и рекомендательная подсказка автору</w:t>
            </w:r>
          </w:p>
        </w:tc>
      </w:tr>
      <w:tr>
        <w:trPr>
          <w:cantSplit/>
        </w:trPr>
        <w:tc>
          <w:tcPr>
            <w:tcW w:type="dxa" w:w="80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Почта</w:t>
            </w:r>
          </w:p>
        </w:tc>
        <w:tc>
          <w:tcPr>
            <w:tcW w:type="dxa" w:w="427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SMTP с TLS либо локальный демонстрационный ящик</w:t>
            </w:r>
          </w:p>
        </w:tc>
        <w:tc>
          <w:tcPr>
            <w:tcW w:type="dxa" w:w="427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Доставка одноразового кода; внешняя SMTP-доставка требует настройки</w:t>
            </w:r>
          </w:p>
        </w:tc>
      </w:tr>
    </w:tbl>
    <w:p>
      <w:pPr>
        <w:spacing w:after="0"/>
        <w:ind w:firstLine="0"/>
      </w:pPr>
    </w:p>
    <w:p>
      <w:r>
        <w:rPr>
          <w:rFonts w:ascii="Times New Roman" w:hAnsi="Times New Roman" w:eastAsia="Times New Roman" w:cs="Times New Roman"/>
          <w:color w:val="000000"/>
          <w:u w:val="none"/>
        </w:rPr>
        <w:t>Frontend и backend собираются в контейнеры. Миграции применяются перед запуском API, а исходные синтетические записи добавляются идемпотентно. Основной стенд публикует интерфейс и API только на loopback. Сервис runner доступен API по внутренней сети; Docker socket, каталог проекта и произвольные файлы хоста ему не передаются.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3. Данные, роли и API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Система различает кандидата и работодателя. Запросы к изменяющим операциям требуют действующей HttpOnly-сессии и CSRF-токена; доменные операции проверяют роль и владельца записи. Версионированные согласия отделяют обработку профиля от его публикации. Публичная проекция кандидата не содержит контакта, а работодатель не может получить неопубликованный либо чужой объект через другой маршрут API.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Контракт проекта генерируется из кода и описывает 87 путей и 100 операций. Для принятого среза проверено равенство live-контракта и сохранённого OpenAPI, 71 автономный HTTP-пример и 34 JSON-тела по схемам. Это локальный API продукта, а не официальный API ФСП. Реальный контракт достижений ФСП отсутствует; вместо него реализован демонстрационный реестр состояний </w:t>
      </w:r>
      <w:r>
        <w:rPr>
          <w:rFonts w:ascii="Times New Roman" w:hAnsi="Times New Roman" w:eastAsia="Times New Roman" w:cs="Times New Roman"/>
          <w:color w:val="000000"/>
          <w:u w:val="none"/>
        </w:rPr>
        <w:t>none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linked-empty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verified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 </w:t>
      </w:r>
      <w:r>
        <w:rPr>
          <w:rFonts w:ascii="Times New Roman" w:hAnsi="Times New Roman" w:eastAsia="Times New Roman" w:cs="Times New Roman"/>
          <w:color w:val="000000"/>
          <w:u w:val="none"/>
        </w:rPr>
        <w:t>unavailable</w:t>
      </w:r>
      <w:r>
        <w:rPr>
          <w:rFonts w:ascii="Times New Roman" w:hAnsi="Times New Roman" w:eastAsia="Times New Roman" w:cs="Times New Roman"/>
          <w:color w:val="000000"/>
          <w:u w:val="none"/>
        </w:rPr>
        <w:t>, а вход имитирует OIDC-подобный code flow с PKCE.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Отсутствие истории ФСП не блокирует профиль. Спортивные достижения дают только ограниченный бонус внутри уже подтверждённой категории, как уточнено в ответе E08. Они не заменяют тест и не меняют специализацию или грейд.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4. Механика тестирования и присвоения категории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Категория определяется связкой специализации и подтверждённого грейда. В текущем справочнике есть Backend, Frontend, QA и Design, для каждого направления — Junior и Middle. Первичный blueprint един для категории, но конкретная форма строится из параметризованных семейств и серверного seed. Сервер хранит снимок выданной формы и закрытые ключи. Публичный </w:t>
      </w:r>
      <w:r>
        <w:rPr>
          <w:rFonts w:ascii="Times New Roman" w:hAnsi="Times New Roman" w:eastAsia="Times New Roman" w:cs="Times New Roman"/>
          <w:color w:val="000000"/>
          <w:u w:val="none"/>
        </w:rPr>
        <w:t>QuestionView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содержит только </w:t>
      </w:r>
      <w:r>
        <w:rPr>
          <w:rFonts w:ascii="Times New Roman" w:hAnsi="Times New Roman" w:eastAsia="Times New Roman" w:cs="Times New Roman"/>
          <w:color w:val="000000"/>
          <w:u w:val="none"/>
        </w:rPr>
        <w:t>id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options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skill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 </w:t>
      </w:r>
      <w:r>
        <w:rPr>
          <w:rFonts w:ascii="Times New Roman" w:hAnsi="Times New Roman" w:eastAsia="Times New Roman" w:cs="Times New Roman"/>
          <w:color w:val="000000"/>
          <w:u w:val="none"/>
        </w:rPr>
        <w:t>title</w:t>
      </w:r>
      <w:r>
        <w:rPr>
          <w:rFonts w:ascii="Times New Roman" w:hAnsi="Times New Roman" w:eastAsia="Times New Roman" w:cs="Times New Roman"/>
          <w:color w:val="000000"/>
          <w:u w:val="none"/>
        </w:rPr>
        <w:t>, поэтому объяснение, тема, эталон и параметры семейства до завершения попытки не раскрываются.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Форма версии </w:t>
      </w:r>
      <w:r>
        <w:rPr>
          <w:rFonts w:ascii="Times New Roman" w:hAnsi="Times New Roman" w:eastAsia="Times New Roman" w:cs="Times New Roman"/>
          <w:color w:val="000000"/>
          <w:u w:val="none"/>
        </w:rPr>
        <w:t>scenarios-v6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включает 12 заданий по трём навыкам. Результат вычисляется сервером; пороги команды составляют 70 для Junior и 80 для Middle. При результате в полосе ±6 баллов назначается вторая форма, итог строится по двум этапам. Неуспешная попытка не понижает ранее подтверждённый грейд. Повышение ограничено интервалом 90 суток; после повторного результата со статусом integrity hold следующая такая проверка закрывается на 14 суток.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Сигналы целостности фиксируют темп ответа, массовую сдачу, копирование, сочетания клавиш, уход со страницы, переполнение бюджета событий и heartbeat. Перед submit клиент ожидает отправку очереди событий, а сервер принимает решение по собственному времени. Это защитные эвристики и основание для повторной проверки, а не удалённый прокторинг и не обещание полной защиты от списывания.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Актуальная синтетическая диагностика построила 800 основных и 800 подтверждающих форм: 19 200 вопросов и 32 000 переносов ответов. Было четыре сырых прохода перенесённых ответов, но ни одного немедленного или итогового подтверждения после policy; потребовалось 18 вторых форм. Такой результат проверяет заданную механику против конкретного корпуса и программного oracle. Он не доказывает независимую сложность заданий на людях.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5. Подбор и объяснение результата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Подбор начинается с жёстких условий. В выдачу допускается только опубликованный профиль с нужными специализацией и подтверждённым грейдом, всеми обязательными навыками, совместимым форматом работы и минимальной зарплатой не выше бюджета. Эти ограничения не компенсируются высоким суммарным баллом.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Для прошедших фильтры кандидатов вычисляется объяснимый балл: до 45 пунктов за результат оценки, до 35 за пересечение требуемых и желательных навыков, до 10 за подтверждённый сигнал ФСП и до 10 за актуальность. Ответ API содержит совпавшие и отсутствующие навыки и компоненты балла. Сохранённый snapshot подборки не меняется задним числом при редактировании нового запроса.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Эта формула — продуктовая политика, проверенная на синтетических парах и эталонах. Она не является обученной моделью рынка труда. Практические задания работодателя могут добавить свежий evidence по навыкам и актуальности, но не переводят кандидата в другой глобальный грейд и не обходят жёсткие фильтры.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6. Контакт, согласия и приватность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В публичном поиске используется псевдоним, а контакт хранится отдельно от публичного профиля. Приглашение включает компанию, описание, зарплату от и до, признак gross/net, валюту RUB и, при необходимости, ссылку на вакансию. После принятия создаётся адресный grant только компании-отправителю. Аналогичный grant возникает при самостоятельном отклике; отказ, отзыв или withdraw снова скрывает контакт. Проверка выполняется при каждом чтении API и при экспорте PDF, а не только в интерфейсе.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Экран управления этой границей показан на рисунке 1. Он использует синтетические записи и иллюстрирует пользовательский контроль, а не обработку реальных персональных данных.</w:t>
      </w:r>
    </w:p>
    <w:p>
      <w:pPr>
        <w:keepNext/>
        <w:ind w:firstLine="0"/>
        <w:jc w:val="center"/>
      </w:pPr>
      <w:r>
        <w:rPr>
          <w:rFonts w:ascii="Times New Roman" w:hAnsi="Times New Roman" w:eastAsia="Times New Roman" w:cs="Times New Roman"/>
          <w:color w:val="000000"/>
          <w:u w:val="none"/>
        </w:rPr>
        <w:drawing>
          <wp:inline xmlns:a="http://schemas.openxmlformats.org/drawingml/2006/main" xmlns:pic="http://schemas.openxmlformats.org/drawingml/2006/picture">
            <wp:extent cx="5940000" cy="4124999"/>
            <wp:docPr id="1" name="privacy" descr="Настройки доступности профиля и контактов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ivac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24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GOSTCaption"/>
        <w:keepNext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Рисунок 1 — Настройки доступности профиля и контактов</w:t>
      </w:r>
    </w:p>
    <w:p>
      <w:pPr>
        <w:pStyle w:val="GOSTFigureSource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Источник: Работающий синтетический стенд NAS, Chromium; 11 октября 2026 года.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Пароли хешируются PBKDF2, одноразовые коды истекают и применяются один раз, вход ограничивается по частоте. В контейнерах используются </w:t>
      </w:r>
      <w:r>
        <w:rPr>
          <w:rFonts w:ascii="Times New Roman" w:hAnsi="Times New Roman" w:eastAsia="Times New Roman" w:cs="Times New Roman"/>
          <w:color w:val="000000"/>
          <w:u w:val="none"/>
        </w:rPr>
        <w:t>read_only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tmpfs, drop всех capabilities и </w:t>
      </w:r>
      <w:r>
        <w:rPr>
          <w:rFonts w:ascii="Times New Roman" w:hAnsi="Times New Roman" w:eastAsia="Times New Roman" w:cs="Times New Roman"/>
          <w:color w:val="000000"/>
          <w:u w:val="none"/>
        </w:rPr>
        <w:t>no-new-privileges</w:t>
      </w:r>
      <w:r>
        <w:rPr>
          <w:rFonts w:ascii="Times New Roman" w:hAnsi="Times New Roman" w:eastAsia="Times New Roman" w:cs="Times New Roman"/>
          <w:color w:val="000000"/>
          <w:u w:val="none"/>
        </w:rPr>
        <w:t>. Эти меры и отрицательные сценарии ролей и владельцев проверены, однако полноценная промышленная приёмка по 152-ФЗ, внешний аудит инфраструктуры и модель угроз оператора не проводились.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7. Банки и безопасное исполнение практических заданий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Работодатель может создать банк вручную, импортировать CSV/JSON или запросить ИИ-черновик. Поддержаны single choice, multiple choice, numeric и open response. Перед публикацией сервер требует непротиворечивую структуру: уникальные нормализованные варианты, один верный вариант для single choice, от двух до </w:t>
      </w:r>
      <w:r>
        <w:rPr>
          <w:rFonts w:ascii="Times New Roman" w:hAnsi="Times New Roman" w:eastAsia="Times New Roman" w:cs="Times New Roman"/>
          <w:color w:val="000000"/>
          <w:u w:val="none"/>
        </w:rPr>
        <w:t>n−1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верных для multiple choice и рубрику с уровнями 0, частичный результат и 100 для открытого ответа. Неоднозначный материал можно сохранить как draft, но нельзя опубликовать.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Конструктор и состояние банка показаны на рисунке 2. Изображение фиксирует живой интерфейс синтетического стенда; корректность содержания конкретного задания определяется правилами публикации и просмотром автора.</w:t>
      </w:r>
    </w:p>
    <w:p>
      <w:pPr>
        <w:keepNext/>
        <w:ind w:firstLine="0"/>
        <w:jc w:val="center"/>
      </w:pPr>
      <w:r>
        <w:rPr>
          <w:rFonts w:ascii="Times New Roman" w:hAnsi="Times New Roman" w:eastAsia="Times New Roman" w:cs="Times New Roman"/>
          <w:color w:val="000000"/>
          <w:u w:val="none"/>
        </w:rPr>
        <w:drawing>
          <wp:inline xmlns:a="http://schemas.openxmlformats.org/drawingml/2006/main" xmlns:pic="http://schemas.openxmlformats.org/drawingml/2006/picture">
            <wp:extent cx="5940000" cy="4124999"/>
            <wp:docPr id="2" name="question-bank" descr="Конструктор и версии практических наборов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estion-bank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24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GOSTCaption"/>
        <w:keepNext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Рисунок 2 — Конструктор и версии практических наборов</w:t>
      </w:r>
    </w:p>
    <w:p>
      <w:pPr>
        <w:pStyle w:val="GOSTFigureSource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Источник: Работающий синтетический стенд NAS, Chromium; 11 октября 2026 года.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Практические Python, JavaScript и SQLite-задания отправляются брокеру runner. Каждый запуск создаёт одноразовую VM без сети. Ограничиваются процессорное время, память, число процессов и длительность; основной API не выполняет код через обычный subprocess и не получает Docker socket. При KVM VM стартует быстрее, при отсутствии </w:t>
      </w:r>
      <w:r>
        <w:rPr>
          <w:rFonts w:ascii="Times New Roman" w:hAnsi="Times New Roman" w:eastAsia="Times New Roman" w:cs="Times New Roman"/>
          <w:color w:val="000000"/>
          <w:u w:val="none"/>
        </w:rPr>
        <w:t>/dev/kvm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используется TCG, но граница VM сохраняется.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Путь кандидата к практике показан на рисунке 3. Результат задачи остаётся evidence конкретной практики и не повышает подтверждённый тестом глобальный грейд.</w:t>
      </w:r>
    </w:p>
    <w:p>
      <w:pPr>
        <w:keepNext/>
        <w:ind w:firstLine="0"/>
        <w:jc w:val="center"/>
      </w:pPr>
      <w:r>
        <w:rPr>
          <w:rFonts w:ascii="Times New Roman" w:hAnsi="Times New Roman" w:eastAsia="Times New Roman" w:cs="Times New Roman"/>
          <w:color w:val="000000"/>
          <w:u w:val="none"/>
        </w:rPr>
        <w:drawing>
          <wp:inline xmlns:a="http://schemas.openxmlformats.org/drawingml/2006/main" xmlns:pic="http://schemas.openxmlformats.org/drawingml/2006/picture">
            <wp:extent cx="5940000" cy="4124999"/>
            <wp:docPr id="3" name="practice" descr="Практические наборы в кабинете кандидат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actic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24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GOSTCaption"/>
        <w:keepNext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Рисунок 3 — Практические наборы в кабинете кандидата</w:t>
      </w:r>
    </w:p>
    <w:p>
      <w:pPr>
        <w:pStyle w:val="GOSTFigureSource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Источник: Работающий синтетический стенд NAS, Chromium; 11 октября 2026 года.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В текущей приёмке runner прошёл 28 из 28 проверок в TCG. На NAS реальный KVM smoke завершил 6 из 6 сценариев; медиана загрузки составила 4 397 мс, максимум — 5 107 мс. Контрольный конкурсный банк принял три эталонных решения и отклонил три типовых мутанта скрытыми случаями. Эти результаты проверяют конкретные образы и задания, а не безопасность любого произвольного кода.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8. ИИ-контур и обязательная ручная проверка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Базовый продукт работает с </w:t>
      </w:r>
      <w:r>
        <w:rPr>
          <w:rFonts w:ascii="Times New Roman" w:hAnsi="Times New Roman" w:eastAsia="Times New Roman" w:cs="Times New Roman"/>
          <w:color w:val="000000"/>
          <w:u w:val="none"/>
        </w:rPr>
        <w:t>FSP_LLM_PROVIDER=none</w:t>
      </w:r>
      <w:r>
        <w:rPr>
          <w:rFonts w:ascii="Times New Roman" w:hAnsi="Times New Roman" w:eastAsia="Times New Roman" w:cs="Times New Roman"/>
          <w:color w:val="000000"/>
          <w:u w:val="none"/>
        </w:rPr>
        <w:t>. Необязательный контур поддерживает OpenAI-совместимый API со строгим JSON Schema. Принята открытая Qwen3-4B-Instruct-2507 в NF4 без LoRA: адаптеры v1/v2 были проверены и отклонены, поскольку хуже решали новые вычислимые задания. Модель и revision закреплены, файлы весов сверяются по SHA-256 и не хранятся в Git.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Модель создаёт только приватный черновик с </w:t>
      </w:r>
      <w:r>
        <w:rPr>
          <w:rFonts w:ascii="Times New Roman" w:hAnsi="Times New Roman" w:eastAsia="Times New Roman" w:cs="Times New Roman"/>
          <w:color w:val="000000"/>
          <w:u w:val="none"/>
        </w:rPr>
        <w:t>review_required=true</w:t>
      </w:r>
      <w:r>
        <w:rPr>
          <w:rFonts w:ascii="Times New Roman" w:hAnsi="Times New Roman" w:eastAsia="Times New Roman" w:cs="Times New Roman"/>
          <w:color w:val="000000"/>
          <w:u w:val="none"/>
        </w:rPr>
        <w:t>. Сервер проверяет структуру и собирает варианты, а автор проверяет условие, эталон, варианты и рубрику до публикации. Для открытого ответа ИИ может предложить оценку и обратную связь, но работодатель принимает окончательное решение. Подсказка не меняет профиль, навыки и грейд.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Живой NAS→GPU прогон подтвердил четыре типа генерации, сохранение и публикацию, ответ кандидата и ручное завершение. При этом модель предложила 65 баллов за ответ, которому автор после проверки поставил 100, и пропустила уже описанный аспект решения. В рубрике также осталась опечатка. Поэтому результат подтверждает работу runtime-контракта, но одновременно показывает, почему автоматическое решение о квалификации запрещено.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9. Сборка и развёртывание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Проверяющий выбирает один из трёх режимов: базовый стенд без ИИ, полный стенд с локальной Qwen на NVIDIA GPU либо собственный OpenAI-совместимый сервер. Во всех режимах Python, Node и PostgreSQL находятся внутри контейнеров. Штатный цикл выполняют </w:t>
      </w:r>
      <w:r>
        <w:rPr>
          <w:rFonts w:ascii="Times New Roman" w:hAnsi="Times New Roman" w:eastAsia="Times New Roman" w:cs="Times New Roman"/>
          <w:color w:val="000000"/>
          <w:u w:val="none"/>
        </w:rPr>
        <w:t>./scripts/run.sh init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start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status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 </w:t>
      </w:r>
      <w:r>
        <w:rPr>
          <w:rFonts w:ascii="Times New Roman" w:hAnsi="Times New Roman" w:eastAsia="Times New Roman" w:cs="Times New Roman"/>
          <w:color w:val="000000"/>
          <w:u w:val="none"/>
        </w:rPr>
        <w:t>check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; интерфейс доступен на </w:t>
      </w:r>
      <w:r>
        <w:rPr>
          <w:rFonts w:ascii="Times New Roman" w:hAnsi="Times New Roman" w:eastAsia="Times New Roman" w:cs="Times New Roman"/>
          <w:color w:val="000000"/>
          <w:u w:val="none"/>
        </w:rPr>
        <w:t>http://127.0.0.1:8470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документация API — на </w:t>
      </w:r>
      <w:r>
        <w:rPr>
          <w:rFonts w:ascii="Times New Roman" w:hAnsi="Times New Roman" w:eastAsia="Times New Roman" w:cs="Times New Roman"/>
          <w:color w:val="000000"/>
          <w:u w:val="none"/>
        </w:rPr>
        <w:t>/api/docs</w:t>
      </w:r>
      <w:r>
        <w:rPr>
          <w:rFonts w:ascii="Times New Roman" w:hAnsi="Times New Roman" w:eastAsia="Times New Roman" w:cs="Times New Roman"/>
          <w:color w:val="000000"/>
          <w:u w:val="none"/>
        </w:rPr>
        <w:t>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Для базового режима рекомендованы 4 CPU, 8 ГБ RAM и 15 ГБ диска. Для проверенного GPU-режима — NVIDIA с 8 ГБ VRAM, 24 ГБ RAM и 40 ГБ диска; измерения выполнены на RTX 4070 Laptop 8 ГБ. Значение 6 ГБ VRAM является нижней границей конфигурации, а не гарантией для любой видеокарты. Apple Silicon и AMD GPU как полный локальный режим выпуска не проверены.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Собственная модель загружается из закреплённого официального revision. Загрузчик сначала пишет </w:t>
      </w:r>
      <w:r>
        <w:rPr>
          <w:rFonts w:ascii="Times New Roman" w:hAnsi="Times New Roman" w:eastAsia="Times New Roman" w:cs="Times New Roman"/>
          <w:color w:val="000000"/>
          <w:u w:val="none"/>
        </w:rPr>
        <w:t>.part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затем проверяет SHA-256 и только после успеха заменяет целевой файл. Offline-проверка отклоняет пропуски, лишние файлы, ссылки и небезопасные пути. Секреты создаются локально и не перезаписываются повторным </w:t>
      </w:r>
      <w:r>
        <w:rPr>
          <w:rFonts w:ascii="Times New Roman" w:hAnsi="Times New Roman" w:eastAsia="Times New Roman" w:cs="Times New Roman"/>
          <w:color w:val="000000"/>
          <w:u w:val="none"/>
        </w:rPr>
        <w:t>init</w:t>
      </w:r>
      <w:r>
        <w:rPr>
          <w:rFonts w:ascii="Times New Roman" w:hAnsi="Times New Roman" w:eastAsia="Times New Roman" w:cs="Times New Roman"/>
          <w:color w:val="000000"/>
          <w:u w:val="none"/>
        </w:rPr>
        <w:t>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10. Проверка принятого среза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Главные результаты 11 октября 2026 года относятся к принятому срезу </w:t>
      </w:r>
      <w:r>
        <w:rPr>
          <w:rFonts w:ascii="Times New Roman" w:hAnsi="Times New Roman" w:eastAsia="Times New Roman" w:cs="Times New Roman"/>
          <w:color w:val="000000"/>
          <w:u w:val="none"/>
        </w:rPr>
        <w:t>58105a2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 его указанным runtime-образам.</w:t>
      </w:r>
    </w:p>
    <w:p>
      <w:pPr>
        <w:pStyle w:val="GOSTTableReference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>Сведения приведены в таблице 2.</w:t>
      </w:r>
    </w:p>
    <w:p>
      <w:pPr>
        <w:pStyle w:val="GOSTTableCaption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Таблица 2 — Проверка принятого среза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cantSplit/>
          <w:tblHeader w:val="true"/>
        </w:trPr>
        <w:tc>
          <w:tcPr>
            <w:tcW w:type="dxa" w:w="111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Область</w:t>
            </w:r>
          </w:p>
        </w:tc>
        <w:tc>
          <w:tcPr>
            <w:tcW w:type="dxa" w:w="411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Результат</w:t>
            </w:r>
          </w:p>
        </w:tc>
        <w:tc>
          <w:tcPr>
            <w:tcW w:type="dxa" w:w="411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Что результат не означает</w:t>
            </w:r>
          </w:p>
        </w:tc>
      </w:tr>
      <w:tr>
        <w:trPr>
          <w:cantSplit/>
        </w:trPr>
        <w:tc>
          <w:tcPr>
            <w:tcW w:type="dxa" w:w="111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SQLite</w:t>
            </w:r>
          </w:p>
        </w:tc>
        <w:tc>
          <w:tcPr>
            <w:tcW w:type="dxa" w:w="411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410 passed, 2 skipped, 6 подтестов, exit 0</w:t>
            </w:r>
          </w:p>
        </w:tc>
        <w:tc>
          <w:tcPr>
            <w:tcW w:type="dxa" w:w="411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Не заменяет PostgreSQL-конкурентность</w:t>
            </w:r>
          </w:p>
        </w:tc>
      </w:tr>
      <w:tr>
        <w:trPr>
          <w:cantSplit/>
        </w:trPr>
        <w:tc>
          <w:tcPr>
            <w:tcW w:type="dxa" w:w="111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PostgreSQL 16</w:t>
            </w:r>
          </w:p>
        </w:tc>
        <w:tc>
          <w:tcPr>
            <w:tcW w:type="dxa" w:w="411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411 passed, 1 skipped, 6 подтестов, exit 0</w:t>
            </w:r>
          </w:p>
        </w:tc>
        <w:tc>
          <w:tcPr>
            <w:tcW w:type="dxa" w:w="411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Не является нагрузочным аудитом промышленного стенда</w:t>
            </w:r>
          </w:p>
        </w:tc>
      </w:tr>
      <w:tr>
        <w:trPr>
          <w:cantSplit/>
        </w:trPr>
        <w:tc>
          <w:tcPr>
            <w:tcW w:type="dxa" w:w="111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Браузеры</w:t>
            </w:r>
          </w:p>
        </w:tc>
        <w:tc>
          <w:tcPr>
            <w:tcW w:type="dxa" w:w="411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132/132: по 44 Chromium, Firefox и WebKit</w:t>
            </w:r>
          </w:p>
        </w:tc>
        <w:tc>
          <w:tcPr>
            <w:tcW w:type="dxa" w:w="411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Не проверяет все мобильные устройства и вспомогательные технологии</w:t>
            </w:r>
          </w:p>
        </w:tc>
      </w:tr>
      <w:tr>
        <w:trPr>
          <w:cantSplit/>
        </w:trPr>
        <w:tc>
          <w:tcPr>
            <w:tcW w:type="dxa" w:w="111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API</w:t>
            </w:r>
          </w:p>
        </w:tc>
        <w:tc>
          <w:tcPr>
            <w:tcW w:type="dxa" w:w="411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87 путей, 100 операций; контракт совпал с работающим API</w:t>
            </w:r>
          </w:p>
        </w:tc>
        <w:tc>
          <w:tcPr>
            <w:tcW w:type="dxa" w:w="411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Автономные примеры не равны вызову каждой операции в промышленном стенде</w:t>
            </w:r>
          </w:p>
        </w:tc>
      </w:tr>
      <w:tr>
        <w:trPr>
          <w:cantSplit/>
        </w:trPr>
        <w:tc>
          <w:tcPr>
            <w:tcW w:type="dxa" w:w="111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VM</w:t>
            </w:r>
          </w:p>
        </w:tc>
        <w:tc>
          <w:tcPr>
            <w:tcW w:type="dxa" w:w="411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TCG 28/28; NAS KVM 6/6</w:t>
            </w:r>
          </w:p>
        </w:tc>
        <w:tc>
          <w:tcPr>
            <w:tcW w:type="dxa" w:w="411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Не доказывает абсолютную изоляцию любого гипервизора</w:t>
            </w:r>
          </w:p>
        </w:tc>
      </w:tr>
      <w:tr>
        <w:trPr>
          <w:cantSplit/>
        </w:trPr>
        <w:tc>
          <w:tcPr>
            <w:tcW w:type="dxa" w:w="111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LLM</w:t>
            </w:r>
          </w:p>
        </w:tc>
        <w:tc>
          <w:tcPr>
            <w:tcW w:type="dxa" w:w="411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4/4 типа сгенерированы в живом контуре</w:t>
            </w:r>
          </w:p>
        </w:tc>
        <w:tc>
          <w:tcPr>
            <w:tcW w:type="dxa" w:w="411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Не подтверждает безошибочность смысла</w:t>
            </w:r>
          </w:p>
        </w:tc>
      </w:tr>
    </w:tbl>
    <w:p>
      <w:pPr>
        <w:spacing w:after="0"/>
        <w:ind w:firstLine="0"/>
      </w:pP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Прежние показатели 10 октября — 363/364 теста и 126 браузерных сценариев — остаются историческим срезом и не прибавляются к текущим числам. Доработка самостоятельного развёртывания из </w:t>
      </w:r>
      <w:hyperlink r:id="rId16">
        <w:r>
          <w:rPr>
            <w:rFonts w:ascii="Times New Roman" w:hAnsi="Times New Roman" w:eastAsia="Times New Roman" w:cs="Times New Roman"/>
            <w:color w:val="000000"/>
            <w:u w:val="none"/>
          </w:rPr>
          <w:t xml:space="preserve">docs/54</w:t>
        </w:r>
      </w:hyperlink>
      <w:r>
        <w:rPr>
          <w:rFonts w:ascii="Times New Roman" w:hAnsi="Times New Roman" w:eastAsia="Times New Roman" w:cs="Times New Roman"/>
          <w:color w:val="000000"/>
          <w:u w:val="none"/>
        </w:rPr>
        <w:t xml:space="preserve"> прошла отдельные 69 целевых тестов и TCG smoke 6/6. Это проверка установки, download и ready-check поверх принятого продукта, а не новый полный прогон 410/411/132. Полный холодный GPU Compose на этом этапе не повторялся, чтобы не останавливать действующий приватный стенд.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11. Существенные ограничения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• </w:t>
      </w:r>
      <w:r>
        <w:rPr>
          <w:rFonts w:ascii="Times New Roman" w:hAnsi="Times New Roman" w:eastAsia="Times New Roman" w:cs="Times New Roman"/>
          <w:color w:val="000000"/>
          <w:u w:val="none"/>
        </w:rPr>
        <w:t>Все данные демонстрации синтетические; пилот с людьми и независимая экспертная разметка не проведены.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• </w:t>
      </w:r>
      <w:r>
        <w:rPr>
          <w:rFonts w:ascii="Times New Roman" w:hAnsi="Times New Roman" w:eastAsia="Times New Roman" w:cs="Times New Roman"/>
          <w:color w:val="000000"/>
          <w:u w:val="none"/>
        </w:rPr>
        <w:t>Пороги Junior/Middle, test-retest и ranking проверены программно, но не психометрически калиброваны на репрезентативной выборке специалистов.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• </w:t>
      </w:r>
      <w:r>
        <w:rPr>
          <w:rFonts w:ascii="Times New Roman" w:hAnsi="Times New Roman" w:eastAsia="Times New Roman" w:cs="Times New Roman"/>
          <w:color w:val="000000"/>
          <w:u w:val="none"/>
        </w:rPr>
        <w:t>Реального зарегистрированного клиента ФСП ID и официального API достижений нет; текущий реестр — mock с явно обозначенными состояниями.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• </w:t>
      </w:r>
      <w:r>
        <w:rPr>
          <w:rFonts w:ascii="Times New Roman" w:hAnsi="Times New Roman" w:eastAsia="Times New Roman" w:cs="Times New Roman"/>
          <w:color w:val="000000"/>
          <w:u w:val="none"/>
        </w:rPr>
        <w:t>Integrity-сигналы не являются прокторингом и не гарантируют предотвращение списывания.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• </w:t>
      </w:r>
      <w:r>
        <w:rPr>
          <w:rFonts w:ascii="Times New Roman" w:hAnsi="Times New Roman" w:eastAsia="Times New Roman" w:cs="Times New Roman"/>
          <w:color w:val="000000"/>
          <w:u w:val="none"/>
        </w:rPr>
        <w:t>Локальная Qwen и любой внешний провайдер требуют ручной проверки результата; сторонние OpenAI-совместимые серверы не сертифицированы.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• </w:t>
      </w:r>
      <w:r>
        <w:rPr>
          <w:rFonts w:ascii="Times New Roman" w:hAnsi="Times New Roman" w:eastAsia="Times New Roman" w:cs="Times New Roman"/>
          <w:color w:val="000000"/>
          <w:u w:val="none"/>
        </w:rPr>
        <w:t>ATS и защита от фиктивных компаний описаны как направления интеграции, но промышленная синхронизация и внешний источник доверия не реализованы.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• </w:t>
      </w:r>
      <w:r>
        <w:rPr>
          <w:rFonts w:ascii="Times New Roman" w:hAnsi="Times New Roman" w:eastAsia="Times New Roman" w:cs="Times New Roman"/>
          <w:color w:val="000000"/>
          <w:u w:val="none"/>
        </w:rPr>
        <w:t>Полный стенд работает локально; временный парольный показ жюри описан в разделе 12. Проектная лицензия и эксплуатационная приёмка с реальными ПДн остаются отдельными решениями.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12. Правовые условия и временный домен — дополнение 11 октября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По новому поручению владельца подготовлен отдельный jury-контур на NAS: парольные синтетические аккаунты, собственная база, HTTPS-прокси Caddy, закрытые служебные маршруты, host/origin allowlist и Secure cookie. Домен </w:t>
      </w:r>
      <w:r>
        <w:rPr>
          <w:rFonts w:ascii="Times New Roman" w:hAnsi="Times New Roman" w:eastAsia="Times New Roman" w:cs="Times New Roman"/>
          <w:color w:val="000000"/>
          <w:u w:val="none"/>
        </w:rPr>
        <w:t>fsptest.kolesnikovny.ru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опубликован через российский VPS ru2 и reverse SSH до NAS; внешняя проверка TLS и 22 HTTP-шагов прошла 11 октября. NAS находится в России по подтверждению владельца. Политика указывает Колесникова Никиту Юрьевича и inbox@nkolesnikov.ru. Системный nginx NAS не менялся. Изоляция VM на новом стенде прошла 28 проверок; независимая браузерная проверка jury UI — 9/9 на трёх движках, локальный режим — 3/3.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Внешняя почта теперь требует явного включения SMTP; прямой адаптер принимает только синтетические адреса и проверяет TLS. Jury-режим отключает регистрацию, email-коды, mock-почту, вход по demo-ID, ФСП ID mock и импорт PDF. Полный локальный режим и видео сохраняют исходный путь регистрации по ТЗ. Опубликованные правила подбора используют реальную формулу 45/35/10/10. Подготовлены правовые страницы, инвентаризация 43 Python-пакетов и трёх веб-компонентов с копиями лицензий; модель остаётся отдельной закреплённой загрузкой Apache-2.0. Подробности — docs/58–61.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Новые проверки этого дополнения фиксируются отдельно в </w:t>
      </w:r>
      <w:r>
        <w:rPr>
          <w:rFonts w:ascii="Times New Roman" w:hAnsi="Times New Roman" w:eastAsia="Times New Roman" w:cs="Times New Roman"/>
          <w:color w:val="000000"/>
          <w:u w:val="none"/>
        </w:rPr>
        <w:t>docs/release/2026-10-11-legal-submission/</w:t>
      </w:r>
      <w:r>
        <w:rPr>
          <w:rFonts w:ascii="Times New Roman" w:hAnsi="Times New Roman" w:eastAsia="Times New Roman" w:cs="Times New Roman"/>
          <w:color w:val="000000"/>
          <w:u w:val="none"/>
        </w:rPr>
        <w:t>; ранее приведённые результаты 410/411/132 относятся к базовому выпуску и не суммируются с новым прогоном.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13. Вывод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Реализация закрывает обязательный сквозной путь: регистрация, профиль, тестирование, подтверждённая категория, объяснимый поиск, персональное приглашение и контролируемое открытие контакта. Технический центр решения — серверные правила и проверяемые границы: закрытые ключи теста, жёсткие фильтры, адресные grants, VM-runner и ручное подтверждение ИИ-материалов. Опубликованные протоколы показывают воспроизводимость конкретного конкурсного среза. Дальнейший переход к реальной эксплуатации требует данных и соглашений ФСП, человеческой калибровки оценивания, промышленного аудита безопасности и отдельной приёмки инфраструктуры оператора.</w:t>
      </w:r>
    </w:p>
    <w:sectPr w:rsidR="00FC693F" w:rsidRPr="0006063C" w:rsidSect="00034616">
      <w:footerReference w:type="default" r:id="rId10"/>
      <w:pgSz w:w="11906" w:h="16838"/>
      <w:pgMar w:top="1134" w:right="850" w:bottom="1134" w:left="1701" w:header="720" w:footer="567" w:gutter="0"/>
      <w:cols w:space="720"/>
      <w:docGrid w:linePitch="360"/>
      <w:pgNumType w:start="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eastAsia="Times New Roman" w:cs="Times New Roman"/>
        <w:color w:val="000000"/>
        <w:sz w:val="24"/>
        <w:u w:val="none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Times New Roman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Times New Roman" w:hAnsi="Times New Roman" w:eastAsia="Times New Roman" w:cs="Times New Roman"/>
      <w:color w:val="000000"/>
      <w:u w:val="none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Times New Roman" w:hAnsi="Times New Roman" w:eastAsia="Times New Roman" w:cs="Times New Roman"/>
      <w:color w:val="000000"/>
      <w:u w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0" w:left="0"/>
      <w:jc w:val="center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0" w:left="0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120" w:line="360" w:lineRule="auto"/>
      <w:ind w:firstLine="0" w:left="0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8"/>
      <w:u w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120" w:line="360" w:lineRule="auto"/>
      <w:ind w:firstLine="0" w:left="0"/>
      <w:jc w:val="left"/>
      <w:outlineLvl w:val="3"/>
    </w:pPr>
    <w:rPr>
      <w:rFonts w:ascii="Times New Roman" w:hAnsi="Times New Roman" w:eastAsia="Times New Roman" w:cs="Times New Roman"/>
      <w:b/>
      <w:bCs/>
      <w:i w:val="0"/>
      <w:iCs/>
      <w:color w:val="000000"/>
      <w:sz w:val="28"/>
      <w:u w:val="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eastAsia="Times New Roman" w:cs="Times New Roman"/>
      <w:color w:val="000000"/>
      <w:u w:val="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eastAsia="Times New Roman" w:cs="Times New Roman"/>
      <w:i/>
      <w:iCs/>
      <w:color w:val="000000"/>
      <w:u w:val="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eastAsia="Times New Roman" w:cs="Times New Roman"/>
      <w:i/>
      <w:iCs/>
      <w:color w:val="000000"/>
      <w:u w:val="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eastAsia="Times New Roman" w:cs="Times New Roman"/>
      <w:color w:val="000000"/>
      <w:sz w:val="20"/>
      <w:szCs w:val="20"/>
      <w:u w:val="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eastAsia="Times New Roman" w:cs="Times New Roman"/>
      <w:i/>
      <w:iCs/>
      <w:color w:val="000000"/>
      <w:sz w:val="20"/>
      <w:szCs w:val="20"/>
      <w:u w:val="none"/>
    </w:rPr>
  </w:style>
  <w:style w:type="character" w:default="1" w:styleId="DefaultParagraphFont">
    <w:name w:val="Default Paragraph Font"/>
    <w:uiPriority w:val="1"/>
    <w:semiHidden/>
    <w:unhideWhenUsed/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  <w:style w:type="table" w:default="1" w:styleId="TableNormal">
    <w:name w:val="Normal Table"/>
    <w:uiPriority w:val="99"/>
    <w:semiHidden/>
    <w:unhideWhenUsed/>
    <w:rPr>
      <w:rFonts w:ascii="Times New Roman" w:hAnsi="Times New Roman" w:eastAsia="Times New Roman" w:cs="Times New Roman"/>
      <w:color w:val="000000"/>
      <w:u w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eastAsia="Times New Roman" w:cs="Times New Roman"/>
      <w:b/>
      <w:bCs/>
      <w:color w:val="000000"/>
      <w:sz w:val="28"/>
      <w:szCs w:val="28"/>
      <w:u w:val="none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eastAsia="Times New Roman" w:cs="Times New Roman"/>
      <w:b/>
      <w:bCs/>
      <w:color w:val="000000"/>
      <w:sz w:val="26"/>
      <w:szCs w:val="26"/>
      <w:u w:val="none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eastAsia="Times New Roman" w:cs="Times New Roman"/>
      <w:b/>
      <w:bCs/>
      <w:color w:val="000000"/>
      <w:u w:val="none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60" w:line="360" w:lineRule="auto" w:before="0"/>
      <w:ind w:firstLine="0"/>
      <w:contextualSpacing/>
      <w:jc w:val="center"/>
    </w:pPr>
    <w:rPr>
      <w:rFonts w:ascii="Times New Roman" w:hAnsi="Times New Roman" w:eastAsia="Times New Roman" w:cs="Times New Roman"/>
      <w:b/>
      <w:i w:val="0"/>
      <w:color w:val="000000"/>
      <w:spacing w:val="5"/>
      <w:kern w:val="28"/>
      <w:sz w:val="28"/>
      <w:szCs w:val="52"/>
      <w:u w:val="non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eastAsia="Times New Roman" w:cs="Times New Roman"/>
      <w:color w:val="000000"/>
      <w:spacing w:val="5"/>
      <w:kern w:val="28"/>
      <w:sz w:val="52"/>
      <w:szCs w:val="52"/>
      <w:u w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Times New Roman" w:cs="Times New Roman"/>
      <w:i/>
      <w:iCs/>
      <w:color w:val="000000"/>
      <w:spacing w:val="15"/>
      <w:sz w:val="24"/>
      <w:szCs w:val="24"/>
      <w:u w:val="none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eastAsia="Times New Roman" w:cs="Times New Roman"/>
      <w:i/>
      <w:iCs/>
      <w:color w:val="000000"/>
      <w:spacing w:val="15"/>
      <w:sz w:val="24"/>
      <w:szCs w:val="24"/>
      <w:u w:val="none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eastAsia="Times New Roman" w:cs="Times New Roman"/>
      <w:color w:val="000000"/>
      <w:u w:val="none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Times New Roman" w:hAnsi="Times New Roman" w:eastAsia="Times New Roman" w:cs="Times New Roman"/>
      <w:color w:val="000000"/>
      <w:u w:val="none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Times New Roman" w:hAnsi="Times New Roman" w:eastAsia="Times New Roman" w:cs="Times New Roman"/>
      <w:color w:val="000000"/>
      <w:u w:val="none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Times New Roman" w:hAnsi="Times New Roman" w:eastAsia="Times New Roman" w:cs="Times New Roman"/>
      <w:color w:val="000000"/>
      <w:u w:val="none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Times New Roman" w:hAnsi="Times New Roman" w:eastAsia="Times New Roman" w:cs="Times New Roman"/>
      <w:color w:val="000000"/>
      <w:sz w:val="16"/>
      <w:szCs w:val="16"/>
      <w:u w:val="none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Times New Roman" w:hAnsi="Times New Roman" w:eastAsia="Times New Roman" w:cs="Times New Roman"/>
      <w:color w:val="000000"/>
      <w:sz w:val="16"/>
      <w:szCs w:val="16"/>
      <w:u w:val="none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Times New Roman" w:cs="Times New Roman"/>
      <w:color w:val="000000"/>
      <w:sz w:val="20"/>
      <w:szCs w:val="20"/>
      <w:u w:val="none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eastAsia="Times New Roman" w:cs="Times New Roman"/>
      <w:color w:val="000000"/>
      <w:sz w:val="20"/>
      <w:szCs w:val="20"/>
      <w:u w:val="none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eastAsia="Times New Roman" w:cs="Times New Roman"/>
      <w:b/>
      <w:bCs/>
      <w:i/>
      <w:iCs/>
      <w:color w:val="000000"/>
      <w:u w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eastAsia="Times New Roman" w:cs="Times New Roman"/>
      <w:color w:val="000000"/>
      <w:u w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eastAsia="Times New Roman" w:cs="Times New Roman"/>
      <w:color w:val="000000"/>
      <w:sz w:val="20"/>
      <w:szCs w:val="20"/>
      <w:u w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eastAsia="Times New Roman" w:cs="Times New Roman"/>
      <w:i/>
      <w:iCs/>
      <w:color w:val="000000"/>
      <w:sz w:val="20"/>
      <w:szCs w:val="20"/>
      <w:u w:val="non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eastAsia="Times New Roman" w:cs="Times New Roman"/>
      <w:b/>
      <w:bCs/>
      <w:color w:val="000000"/>
      <w:sz w:val="18"/>
      <w:szCs w:val="18"/>
      <w:u w:val="none"/>
    </w:rPr>
  </w:style>
  <w:style w:type="character" w:styleId="Strong">
    <w:name w:val="Strong"/>
    <w:basedOn w:val="DefaultParagraphFont"/>
    <w:uiPriority w:val="22"/>
    <w:qFormat/>
    <w:rsid w:val="00FC693F"/>
    <w:rPr>
      <w:rFonts w:ascii="Times New Roman" w:hAnsi="Times New Roman" w:eastAsia="Times New Roman" w:cs="Times New Roman"/>
      <w:b/>
      <w:bCs/>
      <w:color w:val="000000"/>
      <w:u w:val="none"/>
    </w:rPr>
  </w:style>
  <w:style w:type="character" w:styleId="Emphasis">
    <w:name w:val="Emphasis"/>
    <w:basedOn w:val="DefaultParagraphFont"/>
    <w:uiPriority w:val="20"/>
    <w:qFormat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000000"/>
      </w:pBdr>
      <w:spacing w:before="200" w:after="280"/>
      <w:ind w:left="936" w:right="936"/>
    </w:pPr>
    <w:rPr>
      <w:rFonts w:ascii="Times New Roman" w:hAnsi="Times New Roman" w:eastAsia="Times New Roman" w:cs="Times New Roman"/>
      <w:b/>
      <w:bCs/>
      <w:i/>
      <w:iCs/>
      <w:color w:val="000000"/>
      <w:u w:val="none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Times New Roman" w:hAnsi="Times New Roman" w:eastAsia="Times New Roman" w:cs="Times New Roman"/>
      <w:b/>
      <w:bCs/>
      <w:i/>
      <w:iCs/>
      <w:color w:val="000000"/>
      <w:u w:val="none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Times New Roman" w:hAnsi="Times New Roman" w:eastAsia="Times New Roman" w:cs="Times New Roman"/>
      <w:b/>
      <w:bCs/>
      <w:i/>
      <w:iCs/>
      <w:color w:val="000000"/>
      <w:u w:val="none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Times New Roman" w:hAnsi="Times New Roman" w:eastAsia="Times New Roman" w:cs="Times New Roman"/>
      <w:smallCaps/>
      <w:color w:val="000000"/>
      <w:u w:val="non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Times New Roman" w:hAnsi="Times New Roman" w:eastAsia="Times New Roman" w:cs="Times New Roman"/>
      <w:b/>
      <w:bCs/>
      <w:smallCaps/>
      <w:color w:val="000000"/>
      <w:spacing w:val="5"/>
      <w:u w:val="none"/>
    </w:rPr>
  </w:style>
  <w:style w:type="character" w:styleId="BookTitle">
    <w:name w:val="Book Title"/>
    <w:basedOn w:val="DefaultParagraphFont"/>
    <w:uiPriority w:val="33"/>
    <w:qFormat/>
    <w:rsid w:val="00FC693F"/>
    <w:rPr>
      <w:rFonts w:ascii="Times New Roman" w:hAnsi="Times New Roman" w:eastAsia="Times New Roman" w:cs="Times New Roman"/>
      <w:b/>
      <w:bCs/>
      <w:smallCaps/>
      <w:color w:val="000000"/>
      <w:spacing w:val="5"/>
      <w:u w:val="none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hAnsi="Times New Roman" w:eastAsia="Times New Roman" w:cs="Times New Roman"/>
      <w:color w:val="000000"/>
      <w:u w:val="none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C0C0C0" w:themeFill="text1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C0C0C0" w:themeFill="text1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D3DFEE" w:themeFill="accent1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D3DFEE" w:themeFill="accent1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EFD3D2" w:themeFill="accent2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EFD3D2" w:themeFill="accent2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E6EED5" w:themeFill="accent3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E6EED5" w:themeFill="accent3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DFD8E8" w:themeFill="accent4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DFD8E8" w:themeFill="accent4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D2EAF1" w:themeFill="accent5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D2EAF1" w:themeFill="accent5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FDE4D0" w:themeFill="accent6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FDE4D0" w:themeFill="accent6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C0C0C0" w:themeFill="text1" w:themeFillTint="3F"/>
      </w:tcPr>
    </w:tblStylePr>
    <w:tblStylePr w:type="band1Horz">
      <w:tblPr/>
      <w:tcPr>
        <w:shd w:val="clear" w:color="000000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D3DFEE" w:themeFill="accent1" w:themeFillTint="3F"/>
      </w:tcPr>
    </w:tblStylePr>
    <w:tblStylePr w:type="band1Horz">
      <w:tblPr/>
      <w:tcPr>
        <w:shd w:val="clear" w:color="000000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EFD3D2" w:themeFill="accent2" w:themeFillTint="3F"/>
      </w:tcPr>
    </w:tblStylePr>
    <w:tblStylePr w:type="band1Horz">
      <w:tblPr/>
      <w:tcPr>
        <w:shd w:val="clear" w:color="000000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E6EED5" w:themeFill="accent3" w:themeFillTint="3F"/>
      </w:tcPr>
    </w:tblStylePr>
    <w:tblStylePr w:type="band1Horz">
      <w:tblPr/>
      <w:tcPr>
        <w:shd w:val="clear" w:color="000000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DFD8E8" w:themeFill="accent4" w:themeFillTint="3F"/>
      </w:tcPr>
    </w:tblStylePr>
    <w:tblStylePr w:type="band1Horz">
      <w:tblPr/>
      <w:tcPr>
        <w:shd w:val="clear" w:color="000000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D2EAF1" w:themeFill="accent5" w:themeFillTint="3F"/>
      </w:tcPr>
    </w:tblStylePr>
    <w:tblStylePr w:type="band1Horz">
      <w:tblPr/>
      <w:tcPr>
        <w:shd w:val="clear" w:color="000000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FDE4D0" w:themeFill="accent6" w:themeFillTint="3F"/>
      </w:tcPr>
    </w:tblStylePr>
    <w:tblStylePr w:type="band1Horz">
      <w:tblPr/>
      <w:tcPr>
        <w:shd w:val="clear" w:color="000000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C0C0C0" w:themeFill="text1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D3DFEE" w:themeFill="accent1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EFD3D2" w:themeFill="accent2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E6EED5" w:themeFill="accent3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DFD8E8" w:themeFill="accent4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D2EAF1" w:themeFill="accent5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FDE4D0" w:themeFill="accent6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808080" w:themeFill="text1" w:themeFillTint="7F"/>
      </w:tcPr>
    </w:tblStylePr>
    <w:tblStylePr w:type="band1Horz">
      <w:tblPr/>
      <w:tcPr>
        <w:shd w:val="clear" w:color="000000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A7BFDE" w:themeFill="accent1" w:themeFillTint="7F"/>
      </w:tcPr>
    </w:tblStylePr>
    <w:tblStylePr w:type="band1Horz">
      <w:tblPr/>
      <w:tcPr>
        <w:shd w:val="clear" w:color="000000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DFA7A6" w:themeFill="accent2" w:themeFillTint="7F"/>
      </w:tcPr>
    </w:tblStylePr>
    <w:tblStylePr w:type="band1Horz">
      <w:tblPr/>
      <w:tcPr>
        <w:shd w:val="clear" w:color="000000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CDDDAC" w:themeFill="accent3" w:themeFillTint="7F"/>
      </w:tcPr>
    </w:tblStylePr>
    <w:tblStylePr w:type="band1Horz">
      <w:tblPr/>
      <w:tcPr>
        <w:shd w:val="clear" w:color="000000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BFB1D0" w:themeFill="accent4" w:themeFillTint="7F"/>
      </w:tcPr>
    </w:tblStylePr>
    <w:tblStylePr w:type="band1Horz">
      <w:tblPr/>
      <w:tcPr>
        <w:shd w:val="clear" w:color="000000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A5D5E2" w:themeFill="accent5" w:themeFillTint="7F"/>
      </w:tcPr>
    </w:tblStylePr>
    <w:tblStylePr w:type="band1Horz">
      <w:tblPr/>
      <w:tcPr>
        <w:shd w:val="clear" w:color="000000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FBCAA2" w:themeFill="accent6" w:themeFillTint="7F"/>
      </w:tcPr>
    </w:tblStylePr>
    <w:tblStylePr w:type="band1Horz">
      <w:tblPr/>
      <w:tcPr>
        <w:shd w:val="clear" w:color="000000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C0C0C0" w:themeFill="text1" w:themeFillTint="3F"/>
    </w:tcPr>
    <w:tblStylePr w:type="firstRow">
      <w:rPr>
        <w:b/>
        <w:bCs/>
        <w:color w:val="000000"/>
      </w:rPr>
      <w:tblPr/>
      <w:tcPr>
        <w:shd w:val="clear" w:color="000000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CCCCCC" w:themeFill="text1" w:themeFillTint="33"/>
      </w:tcPr>
    </w:tblStylePr>
    <w:tblStylePr w:type="band1Vert">
      <w:tblPr/>
      <w:tcPr>
        <w:shd w:val="clear" w:color="000000" w:fill="808080" w:themeFill="text1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808080" w:themeFill="text1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3DFEE" w:themeFill="accent1" w:themeFillTint="3F"/>
    </w:tcPr>
    <w:tblStylePr w:type="firstRow">
      <w:rPr>
        <w:b/>
        <w:bCs/>
        <w:color w:val="000000"/>
      </w:rPr>
      <w:tblPr/>
      <w:tcPr>
        <w:shd w:val="clear" w:color="000000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DBE5F1" w:themeFill="accent1" w:themeFillTint="33"/>
      </w:tcPr>
    </w:tblStylePr>
    <w:tblStylePr w:type="band1Vert">
      <w:tblPr/>
      <w:tcPr>
        <w:shd w:val="clear" w:color="000000" w:fill="A7BFDE" w:themeFill="accent1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A7BFDE" w:themeFill="accent1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FD3D2" w:themeFill="accent2" w:themeFillTint="3F"/>
    </w:tcPr>
    <w:tblStylePr w:type="firstRow">
      <w:rPr>
        <w:b/>
        <w:bCs/>
        <w:color w:val="000000"/>
      </w:rPr>
      <w:tblPr/>
      <w:tcPr>
        <w:shd w:val="clear" w:color="000000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2DBDB" w:themeFill="accent2" w:themeFillTint="33"/>
      </w:tcPr>
    </w:tblStylePr>
    <w:tblStylePr w:type="band1Vert">
      <w:tblPr/>
      <w:tcPr>
        <w:shd w:val="clear" w:color="000000" w:fill="DFA7A6" w:themeFill="accent2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DFA7A6" w:themeFill="accent2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6EED5" w:themeFill="accent3" w:themeFillTint="3F"/>
    </w:tcPr>
    <w:tblStylePr w:type="firstRow">
      <w:rPr>
        <w:b/>
        <w:bCs/>
        <w:color w:val="000000"/>
      </w:rPr>
      <w:tblPr/>
      <w:tcPr>
        <w:shd w:val="clear" w:color="000000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EAF1DD" w:themeFill="accent3" w:themeFillTint="33"/>
      </w:tcPr>
    </w:tblStylePr>
    <w:tblStylePr w:type="band1Vert">
      <w:tblPr/>
      <w:tcPr>
        <w:shd w:val="clear" w:color="000000" w:fill="CDDDAC" w:themeFill="accent3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CDDDAC" w:themeFill="accent3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FD8E8" w:themeFill="accent4" w:themeFillTint="3F"/>
    </w:tcPr>
    <w:tblStylePr w:type="firstRow">
      <w:rPr>
        <w:b/>
        <w:bCs/>
        <w:color w:val="000000"/>
      </w:rPr>
      <w:tblPr/>
      <w:tcPr>
        <w:shd w:val="clear" w:color="000000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E5DFEC" w:themeFill="accent4" w:themeFillTint="33"/>
      </w:tcPr>
    </w:tblStylePr>
    <w:tblStylePr w:type="band1Vert">
      <w:tblPr/>
      <w:tcPr>
        <w:shd w:val="clear" w:color="000000" w:fill="BFB1D0" w:themeFill="accent4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BFB1D0" w:themeFill="accent4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2EAF1" w:themeFill="accent5" w:themeFillTint="3F"/>
    </w:tcPr>
    <w:tblStylePr w:type="firstRow">
      <w:rPr>
        <w:b/>
        <w:bCs/>
        <w:color w:val="000000"/>
      </w:rPr>
      <w:tblPr/>
      <w:tcPr>
        <w:shd w:val="clear" w:color="000000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DAEEF3" w:themeFill="accent5" w:themeFillTint="33"/>
      </w:tcPr>
    </w:tblStylePr>
    <w:tblStylePr w:type="band1Vert">
      <w:tblPr/>
      <w:tcPr>
        <w:shd w:val="clear" w:color="000000" w:fill="A5D5E2" w:themeFill="accent5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A5D5E2" w:themeFill="accent5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DE4D0" w:themeFill="accent6" w:themeFillTint="3F"/>
    </w:tcPr>
    <w:tblStylePr w:type="firstRow">
      <w:rPr>
        <w:b/>
        <w:bCs/>
        <w:color w:val="000000"/>
      </w:rPr>
      <w:tblPr/>
      <w:tcPr>
        <w:shd w:val="clear" w:color="000000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DE9D9" w:themeFill="accent6" w:themeFillTint="33"/>
      </w:tcPr>
    </w:tblStylePr>
    <w:tblStylePr w:type="band1Vert">
      <w:tblPr/>
      <w:tcPr>
        <w:shd w:val="clear" w:color="000000" w:fill="FBCAA2" w:themeFill="accent6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FBCAA2" w:themeFill="accent6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000000" w:themeFill="text1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808080" w:themeFill="text1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4F81BD" w:themeFill="accent1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A7BFDE" w:themeFill="accent1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C0504D" w:themeFill="accent2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DFA7A6" w:themeFill="accent2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9BBB59" w:themeFill="accent3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CDDDAC" w:themeFill="accent3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8064A2" w:themeFill="accent4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BFB1D0" w:themeFill="accent4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4BACC6" w:themeFill="accent5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A5D5E2" w:themeFill="accent5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F79646" w:themeFill="accent6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FBCAA2" w:themeFill="accent6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000000" w:themeFill="text1" w:themeFillShade="BF"/>
      </w:tcPr>
    </w:tblStylePr>
    <w:tblStylePr w:type="band1Vert">
      <w:tblPr/>
      <w:tcPr>
        <w:shd w:val="clear" w:color="000000" w:fill="999999" w:themeFill="text1" w:themeFillTint="66"/>
      </w:tcPr>
    </w:tblStylePr>
    <w:tblStylePr w:type="band1Horz">
      <w:tblPr/>
      <w:tcPr>
        <w:shd w:val="clear" w:color="000000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2C4C74" w:themeFill="accent1" w:themeFillShade="99"/>
      </w:tcPr>
    </w:tblStylePr>
    <w:tblStylePr w:type="band1Vert">
      <w:tblPr/>
      <w:tcPr>
        <w:shd w:val="clear" w:color="000000" w:fill="B8CCE4" w:themeFill="accent1" w:themeFillTint="66"/>
      </w:tcPr>
    </w:tblStylePr>
    <w:tblStylePr w:type="band1Horz">
      <w:tblPr/>
      <w:tcPr>
        <w:shd w:val="clear" w:color="000000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772C2A" w:themeFill="accent2" w:themeFillShade="99"/>
      </w:tcPr>
    </w:tblStylePr>
    <w:tblStylePr w:type="band1Vert">
      <w:tblPr/>
      <w:tcPr>
        <w:shd w:val="clear" w:color="000000" w:fill="E5B8B7" w:themeFill="accent2" w:themeFillTint="66"/>
      </w:tcPr>
    </w:tblStylePr>
    <w:tblStylePr w:type="band1Horz">
      <w:tblPr/>
      <w:tcPr>
        <w:shd w:val="clear" w:color="000000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5E7530" w:themeFill="accent3" w:themeFillShade="99"/>
      </w:tcPr>
    </w:tblStylePr>
    <w:tblStylePr w:type="band1Vert">
      <w:tblPr/>
      <w:tcPr>
        <w:shd w:val="clear" w:color="000000" w:fill="D6E3BC" w:themeFill="accent3" w:themeFillTint="66"/>
      </w:tcPr>
    </w:tblStylePr>
    <w:tblStylePr w:type="band1Horz">
      <w:tblPr/>
      <w:tcPr>
        <w:shd w:val="clear" w:color="000000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4C3B62" w:themeFill="accent4" w:themeFillShade="99"/>
      </w:tcPr>
    </w:tblStylePr>
    <w:tblStylePr w:type="band1Vert">
      <w:tblPr/>
      <w:tcPr>
        <w:shd w:val="clear" w:color="000000" w:fill="CCC0D9" w:themeFill="accent4" w:themeFillTint="66"/>
      </w:tcPr>
    </w:tblStylePr>
    <w:tblStylePr w:type="band1Horz">
      <w:tblPr/>
      <w:tcPr>
        <w:shd w:val="clear" w:color="000000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276A7C" w:themeFill="accent5" w:themeFillShade="99"/>
      </w:tcPr>
    </w:tblStylePr>
    <w:tblStylePr w:type="band1Vert">
      <w:tblPr/>
      <w:tcPr>
        <w:shd w:val="clear" w:color="000000" w:fill="B6DDE8" w:themeFill="accent5" w:themeFillTint="66"/>
      </w:tcPr>
    </w:tblStylePr>
    <w:tblStylePr w:type="band1Horz">
      <w:tblPr/>
      <w:tcPr>
        <w:shd w:val="clear" w:color="000000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B65608" w:themeFill="accent6" w:themeFillShade="99"/>
      </w:tcPr>
    </w:tblStylePr>
    <w:tblStylePr w:type="band1Vert">
      <w:tblPr/>
      <w:tcPr>
        <w:shd w:val="clear" w:color="000000" w:fill="FBD4B4" w:themeFill="accent6" w:themeFillTint="66"/>
      </w:tcPr>
    </w:tblStylePr>
    <w:tblStylePr w:type="band1Horz">
      <w:tblPr/>
      <w:tcPr>
        <w:shd w:val="clear" w:color="000000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C0C0C0" w:themeFill="text1" w:themeFillTint="3F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D3DFEE" w:themeFill="accent1" w:themeFillTint="3F"/>
      </w:tcPr>
    </w:tblStylePr>
    <w:tblStylePr w:type="band1Horz">
      <w:tblPr/>
      <w:tcPr>
        <w:shd w:val="clear" w:color="000000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EFD3D2" w:themeFill="accent2" w:themeFillTint="3F"/>
      </w:tcPr>
    </w:tblStylePr>
    <w:tblStylePr w:type="band1Horz">
      <w:tblPr/>
      <w:tcPr>
        <w:shd w:val="clear" w:color="000000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E6EED5" w:themeFill="accent3" w:themeFillTint="3F"/>
      </w:tcPr>
    </w:tblStylePr>
    <w:tblStylePr w:type="band1Horz">
      <w:tblPr/>
      <w:tcPr>
        <w:shd w:val="clear" w:color="000000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DFD8E8" w:themeFill="accent4" w:themeFillTint="3F"/>
      </w:tcPr>
    </w:tblStylePr>
    <w:tblStylePr w:type="band1Horz">
      <w:tblPr/>
      <w:tcPr>
        <w:shd w:val="clear" w:color="000000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D2EAF1" w:themeFill="accent5" w:themeFillTint="3F"/>
      </w:tcPr>
    </w:tblStylePr>
    <w:tblStylePr w:type="band1Horz">
      <w:tblPr/>
      <w:tcPr>
        <w:shd w:val="clear" w:color="000000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DE4D0" w:themeFill="accent6" w:themeFillTint="3F"/>
      </w:tcPr>
    </w:tblStylePr>
    <w:tblStylePr w:type="band1Horz">
      <w:tblPr/>
      <w:tcPr>
        <w:shd w:val="clear" w:color="000000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CCCCCC" w:themeFill="text1" w:themeFillTint="33"/>
    </w:tcPr>
    <w:tblStylePr w:type="firstRow">
      <w:rPr>
        <w:b/>
        <w:bCs/>
      </w:rPr>
      <w:tblPr/>
      <w:tcPr>
        <w:shd w:val="clear" w:color="000000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000000" w:fill="999999" w:themeFill="text1" w:themeFillTint="66"/>
      </w:tcPr>
    </w:tblStylePr>
    <w:tblStylePr w:type="firstCol">
      <w:rPr>
        <w:color w:val="000000"/>
      </w:rPr>
      <w:tblPr/>
      <w:tcPr>
        <w:shd w:val="clear" w:color="000000" w:fill="000000" w:themeFill="text1" w:themeFillShade="BF"/>
      </w:tcPr>
    </w:tblStylePr>
    <w:tblStylePr w:type="lastCol">
      <w:rPr>
        <w:color w:val="000000"/>
      </w:rPr>
      <w:tblPr/>
      <w:tcPr>
        <w:shd w:val="clear" w:color="000000" w:fill="000000" w:themeFill="text1" w:themeFillShade="BF"/>
      </w:tcPr>
    </w:tblStylePr>
    <w:tblStylePr w:type="band1Vert">
      <w:tblPr/>
      <w:tcPr>
        <w:shd w:val="clear" w:color="000000" w:fill="808080" w:themeFill="text1" w:themeFillTint="7F"/>
      </w:tcPr>
    </w:tblStylePr>
    <w:tblStylePr w:type="band1Horz">
      <w:tblPr/>
      <w:tcPr>
        <w:shd w:val="clear" w:color="000000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BE5F1" w:themeFill="accent1" w:themeFillTint="33"/>
    </w:tcPr>
    <w:tblStylePr w:type="firstRow">
      <w:rPr>
        <w:b/>
        <w:bCs/>
      </w:rPr>
      <w:tblPr/>
      <w:tcPr>
        <w:shd w:val="clear" w:color="000000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000000" w:fill="B8CCE4" w:themeFill="accent1" w:themeFillTint="66"/>
      </w:tcPr>
    </w:tblStylePr>
    <w:tblStylePr w:type="firstCol">
      <w:rPr>
        <w:color w:val="000000"/>
      </w:rPr>
      <w:tblPr/>
      <w:tcPr>
        <w:shd w:val="clear" w:color="000000" w:fill="365F91" w:themeFill="accent1" w:themeFillShade="BF"/>
      </w:tcPr>
    </w:tblStylePr>
    <w:tblStylePr w:type="lastCol">
      <w:rPr>
        <w:color w:val="000000"/>
      </w:rPr>
      <w:tblPr/>
      <w:tcPr>
        <w:shd w:val="clear" w:color="000000" w:fill="365F91" w:themeFill="accent1" w:themeFillShade="BF"/>
      </w:tcPr>
    </w:tblStylePr>
    <w:tblStylePr w:type="band1Vert">
      <w:tblPr/>
      <w:tcPr>
        <w:shd w:val="clear" w:color="000000" w:fill="A7BFDE" w:themeFill="accent1" w:themeFillTint="7F"/>
      </w:tcPr>
    </w:tblStylePr>
    <w:tblStylePr w:type="band1Horz">
      <w:tblPr/>
      <w:tcPr>
        <w:shd w:val="clear" w:color="000000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2DBDB" w:themeFill="accent2" w:themeFillTint="33"/>
    </w:tcPr>
    <w:tblStylePr w:type="firstRow">
      <w:rPr>
        <w:b/>
        <w:bCs/>
      </w:rPr>
      <w:tblPr/>
      <w:tcPr>
        <w:shd w:val="clear" w:color="000000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000000" w:fill="E5B8B7" w:themeFill="accent2" w:themeFillTint="66"/>
      </w:tcPr>
    </w:tblStylePr>
    <w:tblStylePr w:type="firstCol">
      <w:rPr>
        <w:color w:val="000000"/>
      </w:rPr>
      <w:tblPr/>
      <w:tcPr>
        <w:shd w:val="clear" w:color="000000" w:fill="943634" w:themeFill="accent2" w:themeFillShade="BF"/>
      </w:tcPr>
    </w:tblStylePr>
    <w:tblStylePr w:type="lastCol">
      <w:rPr>
        <w:color w:val="000000"/>
      </w:rPr>
      <w:tblPr/>
      <w:tcPr>
        <w:shd w:val="clear" w:color="000000" w:fill="943634" w:themeFill="accent2" w:themeFillShade="BF"/>
      </w:tcPr>
    </w:tblStylePr>
    <w:tblStylePr w:type="band1Vert">
      <w:tblPr/>
      <w:tcPr>
        <w:shd w:val="clear" w:color="000000" w:fill="DFA7A6" w:themeFill="accent2" w:themeFillTint="7F"/>
      </w:tcPr>
    </w:tblStylePr>
    <w:tblStylePr w:type="band1Horz">
      <w:tblPr/>
      <w:tcPr>
        <w:shd w:val="clear" w:color="000000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AF1DD" w:themeFill="accent3" w:themeFillTint="33"/>
    </w:tcPr>
    <w:tblStylePr w:type="firstRow">
      <w:rPr>
        <w:b/>
        <w:bCs/>
      </w:rPr>
      <w:tblPr/>
      <w:tcPr>
        <w:shd w:val="clear" w:color="000000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000000" w:fill="D6E3BC" w:themeFill="accent3" w:themeFillTint="66"/>
      </w:tcPr>
    </w:tblStylePr>
    <w:tblStylePr w:type="firstCol">
      <w:rPr>
        <w:color w:val="000000"/>
      </w:rPr>
      <w:tblPr/>
      <w:tcPr>
        <w:shd w:val="clear" w:color="000000" w:fill="76923C" w:themeFill="accent3" w:themeFillShade="BF"/>
      </w:tcPr>
    </w:tblStylePr>
    <w:tblStylePr w:type="lastCol">
      <w:rPr>
        <w:color w:val="000000"/>
      </w:rPr>
      <w:tblPr/>
      <w:tcPr>
        <w:shd w:val="clear" w:color="000000" w:fill="76923C" w:themeFill="accent3" w:themeFillShade="BF"/>
      </w:tcPr>
    </w:tblStylePr>
    <w:tblStylePr w:type="band1Vert">
      <w:tblPr/>
      <w:tcPr>
        <w:shd w:val="clear" w:color="000000" w:fill="CDDDAC" w:themeFill="accent3" w:themeFillTint="7F"/>
      </w:tcPr>
    </w:tblStylePr>
    <w:tblStylePr w:type="band1Horz">
      <w:tblPr/>
      <w:tcPr>
        <w:shd w:val="clear" w:color="000000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5DFEC" w:themeFill="accent4" w:themeFillTint="33"/>
    </w:tcPr>
    <w:tblStylePr w:type="firstRow">
      <w:rPr>
        <w:b/>
        <w:bCs/>
      </w:rPr>
      <w:tblPr/>
      <w:tcPr>
        <w:shd w:val="clear" w:color="000000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000000" w:fill="CCC0D9" w:themeFill="accent4" w:themeFillTint="66"/>
      </w:tcPr>
    </w:tblStylePr>
    <w:tblStylePr w:type="firstCol">
      <w:rPr>
        <w:color w:val="000000"/>
      </w:rPr>
      <w:tblPr/>
      <w:tcPr>
        <w:shd w:val="clear" w:color="000000" w:fill="5F497A" w:themeFill="accent4" w:themeFillShade="BF"/>
      </w:tcPr>
    </w:tblStylePr>
    <w:tblStylePr w:type="lastCol">
      <w:rPr>
        <w:color w:val="000000"/>
      </w:rPr>
      <w:tblPr/>
      <w:tcPr>
        <w:shd w:val="clear" w:color="000000" w:fill="5F497A" w:themeFill="accent4" w:themeFillShade="BF"/>
      </w:tcPr>
    </w:tblStylePr>
    <w:tblStylePr w:type="band1Vert">
      <w:tblPr/>
      <w:tcPr>
        <w:shd w:val="clear" w:color="000000" w:fill="BFB1D0" w:themeFill="accent4" w:themeFillTint="7F"/>
      </w:tcPr>
    </w:tblStylePr>
    <w:tblStylePr w:type="band1Horz">
      <w:tblPr/>
      <w:tcPr>
        <w:shd w:val="clear" w:color="000000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AEEF3" w:themeFill="accent5" w:themeFillTint="33"/>
    </w:tcPr>
    <w:tblStylePr w:type="firstRow">
      <w:rPr>
        <w:b/>
        <w:bCs/>
      </w:rPr>
      <w:tblPr/>
      <w:tcPr>
        <w:shd w:val="clear" w:color="000000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000000" w:fill="B6DDE8" w:themeFill="accent5" w:themeFillTint="66"/>
      </w:tcPr>
    </w:tblStylePr>
    <w:tblStylePr w:type="firstCol">
      <w:rPr>
        <w:color w:val="000000"/>
      </w:rPr>
      <w:tblPr/>
      <w:tcPr>
        <w:shd w:val="clear" w:color="000000" w:fill="31849B" w:themeFill="accent5" w:themeFillShade="BF"/>
      </w:tcPr>
    </w:tblStylePr>
    <w:tblStylePr w:type="lastCol">
      <w:rPr>
        <w:color w:val="000000"/>
      </w:rPr>
      <w:tblPr/>
      <w:tcPr>
        <w:shd w:val="clear" w:color="000000" w:fill="31849B" w:themeFill="accent5" w:themeFillShade="BF"/>
      </w:tcPr>
    </w:tblStylePr>
    <w:tblStylePr w:type="band1Vert">
      <w:tblPr/>
      <w:tcPr>
        <w:shd w:val="clear" w:color="000000" w:fill="A5D5E2" w:themeFill="accent5" w:themeFillTint="7F"/>
      </w:tcPr>
    </w:tblStylePr>
    <w:tblStylePr w:type="band1Horz">
      <w:tblPr/>
      <w:tcPr>
        <w:shd w:val="clear" w:color="000000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DE9D9" w:themeFill="accent6" w:themeFillTint="33"/>
    </w:tcPr>
    <w:tblStylePr w:type="firstRow">
      <w:rPr>
        <w:b/>
        <w:bCs/>
      </w:rPr>
      <w:tblPr/>
      <w:tcPr>
        <w:shd w:val="clear" w:color="000000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000000" w:fill="FBD4B4" w:themeFill="accent6" w:themeFillTint="66"/>
      </w:tcPr>
    </w:tblStylePr>
    <w:tblStylePr w:type="firstCol">
      <w:rPr>
        <w:color w:val="000000"/>
      </w:rPr>
      <w:tblPr/>
      <w:tcPr>
        <w:shd w:val="clear" w:color="000000" w:fill="E36C0A" w:themeFill="accent6" w:themeFillShade="BF"/>
      </w:tcPr>
    </w:tblStylePr>
    <w:tblStylePr w:type="lastCol">
      <w:rPr>
        <w:color w:val="000000"/>
      </w:rPr>
      <w:tblPr/>
      <w:tcPr>
        <w:shd w:val="clear" w:color="000000" w:fill="E36C0A" w:themeFill="accent6" w:themeFillShade="BF"/>
      </w:tcPr>
    </w:tblStylePr>
    <w:tblStylePr w:type="band1Vert">
      <w:tblPr/>
      <w:tcPr>
        <w:shd w:val="clear" w:color="000000" w:fill="FBCAA2" w:themeFill="accent6" w:themeFillTint="7F"/>
      </w:tcPr>
    </w:tblStylePr>
    <w:tblStylePr w:type="band1Horz">
      <w:tblPr/>
      <w:tcPr>
        <w:shd w:val="clear" w:color="000000" w:fill="FBCAA2" w:themeFill="accent6" w:themeFillTint="7F"/>
      </w:tcPr>
    </w:tblStylePr>
  </w:style>
  <w:style w:type="paragraph" w:customStyle="1" w:styleId="GOSTList">
    <w:name w:val="GOST List"/>
    <w:pPr>
      <w:spacing w:before="0" w:after="0" w:line="360" w:lineRule="auto"/>
      <w:ind w:hanging="357" w:left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  <w:style w:type="paragraph" w:customStyle="1" w:styleId="GOSTQuote">
    <w:name w:val="GOST Quote"/>
    <w:pPr>
      <w:spacing w:before="0" w:after="0" w:line="360" w:lineRule="auto"/>
      <w:ind w:left="709" w:firstLine="0"/>
      <w:jc w:val="both"/>
    </w:pPr>
    <w:rPr>
      <w:rFonts w:ascii="Times New Roman" w:hAnsi="Times New Roman" w:eastAsia="Times New Roman" w:cs="Times New Roman"/>
      <w:b w:val="0"/>
      <w:i/>
      <w:color w:val="000000"/>
      <w:sz w:val="28"/>
      <w:u w:val="none"/>
    </w:rPr>
  </w:style>
  <w:style w:type="paragraph" w:customStyle="1" w:styleId="GOSTCode">
    <w:name w:val="GOST Code"/>
    <w:pPr>
      <w:spacing w:before="60" w:after="60" w:line="240" w:lineRule="auto"/>
      <w:ind w:left="709" w:firstLine="0"/>
    </w:pPr>
    <w:rPr>
      <w:rFonts w:ascii="Times New Roman" w:hAnsi="Times New Roman" w:eastAsia="Times New Roman" w:cs="Times New Roman"/>
      <w:b w:val="0"/>
      <w:i w:val="0"/>
      <w:color w:val="000000"/>
      <w:sz w:val="24"/>
      <w:u w:val="none"/>
    </w:rPr>
  </w:style>
  <w:style w:type="paragraph" w:customStyle="1" w:styleId="GOSTCaption">
    <w:name w:val="GOST Caption"/>
    <w:pPr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b w:val="0"/>
      <w:i w:val="0"/>
      <w:color w:val="000000"/>
      <w:sz w:val="24"/>
      <w:u w:val="none"/>
    </w:rPr>
  </w:style>
  <w:style w:type="paragraph" w:customStyle="1" w:styleId="GOSTFigureSource">
    <w:name w:val="GOST Figure Source"/>
    <w:pPr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b w:val="0"/>
      <w:i w:val="0"/>
      <w:color w:val="000000"/>
      <w:sz w:val="24"/>
      <w:u w:val="none"/>
    </w:rPr>
  </w:style>
  <w:style w:type="paragraph" w:customStyle="1" w:styleId="GOSTFigureReference">
    <w:name w:val="GOST Figure Reference"/>
    <w:pPr>
      <w:keepNext/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  <w:style w:type="paragraph" w:customStyle="1" w:styleId="GOSTTableCaption">
    <w:name w:val="GOST Table Caption"/>
    <w:pPr>
      <w:keepNext/>
      <w:spacing w:before="0" w:after="0"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  <w:u w:val="none"/>
    </w:rPr>
  </w:style>
  <w:style w:type="paragraph" w:customStyle="1" w:styleId="GOSTTableReference">
    <w:name w:val="GOST Table Reference"/>
    <w:pPr>
      <w:keepNext/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  <w:style w:type="paragraph" w:customStyle="1" w:styleId="GOSTCoverMetadata">
    <w:name w:val="GOST Cover Metadata"/>
    <w:pPr>
      <w:spacing w:before="0" w:after="120" w:line="360" w:lineRule="auto"/>
      <w:ind w:firstLine="0"/>
      <w:jc w:val="center"/>
    </w:pPr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  <w:style w:type="paragraph" w:customStyle="1" w:styleId="GOSTNavigation">
    <w:name w:val="GOST Navigation"/>
    <w:pPr>
      <w:spacing w:before="0" w:after="60" w:line="240" w:lineRule="auto"/>
      <w:ind w:firstLine="0"/>
    </w:pPr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</w:styles>
</file>

<file path=word/stylesWithEffect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Times New Roman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Times New Roman" w:hAnsi="Times New Roman" w:eastAsia="Times New Roman" w:cs="Times New Roman"/>
      <w:color w:val="000000"/>
      <w:u w:val="none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Times New Roman" w:hAnsi="Times New Roman" w:eastAsia="Times New Roman" w:cs="Times New Roman"/>
      <w:color w:val="000000"/>
      <w:u w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0" w:left="0"/>
      <w:jc w:val="center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0" w:left="0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120" w:line="360" w:lineRule="auto"/>
      <w:ind w:firstLine="0" w:left="0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8"/>
      <w:u w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120" w:line="360" w:lineRule="auto"/>
      <w:ind w:firstLine="0" w:left="0"/>
      <w:jc w:val="left"/>
      <w:outlineLvl w:val="3"/>
    </w:pPr>
    <w:rPr>
      <w:rFonts w:ascii="Times New Roman" w:hAnsi="Times New Roman" w:eastAsia="Times New Roman" w:cs="Times New Roman"/>
      <w:b/>
      <w:bCs/>
      <w:i w:val="0"/>
      <w:iCs/>
      <w:color w:val="000000"/>
      <w:sz w:val="28"/>
      <w:u w:val="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eastAsia="Times New Roman" w:cs="Times New Roman"/>
      <w:color w:val="000000"/>
      <w:u w:val="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eastAsia="Times New Roman" w:cs="Times New Roman"/>
      <w:i/>
      <w:iCs/>
      <w:color w:val="000000"/>
      <w:u w:val="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eastAsia="Times New Roman" w:cs="Times New Roman"/>
      <w:i/>
      <w:iCs/>
      <w:color w:val="000000"/>
      <w:u w:val="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eastAsia="Times New Roman" w:cs="Times New Roman"/>
      <w:color w:val="000000"/>
      <w:sz w:val="20"/>
      <w:szCs w:val="20"/>
      <w:u w:val="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eastAsia="Times New Roman" w:cs="Times New Roman"/>
      <w:i/>
      <w:iCs/>
      <w:color w:val="000000"/>
      <w:sz w:val="20"/>
      <w:szCs w:val="20"/>
      <w:u w:val="none"/>
    </w:rPr>
  </w:style>
  <w:style w:type="character" w:default="1" w:styleId="DefaultParagraphFont">
    <w:name w:val="Default Paragraph Font"/>
    <w:uiPriority w:val="1"/>
    <w:semiHidden/>
    <w:unhideWhenUsed/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  <w:style w:type="table" w:default="1" w:styleId="TableNormal">
    <w:name w:val="Normal Table"/>
    <w:uiPriority w:val="99"/>
    <w:semiHidden/>
    <w:unhideWhenUsed/>
    <w:rPr>
      <w:rFonts w:ascii="Times New Roman" w:hAnsi="Times New Roman" w:eastAsia="Times New Roman" w:cs="Times New Roman"/>
      <w:color w:val="000000"/>
      <w:u w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eastAsia="Times New Roman" w:cs="Times New Roman"/>
      <w:b/>
      <w:bCs/>
      <w:color w:val="000000"/>
      <w:sz w:val="28"/>
      <w:szCs w:val="28"/>
      <w:u w:val="none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eastAsia="Times New Roman" w:cs="Times New Roman"/>
      <w:b/>
      <w:bCs/>
      <w:color w:val="000000"/>
      <w:sz w:val="26"/>
      <w:szCs w:val="26"/>
      <w:u w:val="none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eastAsia="Times New Roman" w:cs="Times New Roman"/>
      <w:b/>
      <w:bCs/>
      <w:color w:val="000000"/>
      <w:u w:val="none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60" w:line="360" w:lineRule="auto" w:before="0"/>
      <w:ind w:firstLine="0"/>
      <w:contextualSpacing/>
      <w:jc w:val="center"/>
    </w:pPr>
    <w:rPr>
      <w:rFonts w:ascii="Times New Roman" w:hAnsi="Times New Roman" w:eastAsia="Times New Roman" w:cs="Times New Roman"/>
      <w:b/>
      <w:i w:val="0"/>
      <w:color w:val="000000"/>
      <w:spacing w:val="5"/>
      <w:kern w:val="28"/>
      <w:sz w:val="28"/>
      <w:szCs w:val="52"/>
      <w:u w:val="non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eastAsia="Times New Roman" w:cs="Times New Roman"/>
      <w:color w:val="000000"/>
      <w:spacing w:val="5"/>
      <w:kern w:val="28"/>
      <w:sz w:val="52"/>
      <w:szCs w:val="52"/>
      <w:u w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Times New Roman" w:cs="Times New Roman"/>
      <w:i/>
      <w:iCs/>
      <w:color w:val="000000"/>
      <w:spacing w:val="15"/>
      <w:sz w:val="24"/>
      <w:szCs w:val="24"/>
      <w:u w:val="none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eastAsia="Times New Roman" w:cs="Times New Roman"/>
      <w:i/>
      <w:iCs/>
      <w:color w:val="000000"/>
      <w:spacing w:val="15"/>
      <w:sz w:val="24"/>
      <w:szCs w:val="24"/>
      <w:u w:val="none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eastAsia="Times New Roman" w:cs="Times New Roman"/>
      <w:color w:val="000000"/>
      <w:u w:val="none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Times New Roman" w:hAnsi="Times New Roman" w:eastAsia="Times New Roman" w:cs="Times New Roman"/>
      <w:color w:val="000000"/>
      <w:u w:val="none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Times New Roman" w:hAnsi="Times New Roman" w:eastAsia="Times New Roman" w:cs="Times New Roman"/>
      <w:color w:val="000000"/>
      <w:u w:val="none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Times New Roman" w:hAnsi="Times New Roman" w:eastAsia="Times New Roman" w:cs="Times New Roman"/>
      <w:color w:val="000000"/>
      <w:u w:val="none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Times New Roman" w:hAnsi="Times New Roman" w:eastAsia="Times New Roman" w:cs="Times New Roman"/>
      <w:color w:val="000000"/>
      <w:sz w:val="16"/>
      <w:szCs w:val="16"/>
      <w:u w:val="none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Times New Roman" w:hAnsi="Times New Roman" w:eastAsia="Times New Roman" w:cs="Times New Roman"/>
      <w:color w:val="000000"/>
      <w:sz w:val="16"/>
      <w:szCs w:val="16"/>
      <w:u w:val="none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Times New Roman" w:cs="Times New Roman"/>
      <w:color w:val="000000"/>
      <w:sz w:val="20"/>
      <w:szCs w:val="20"/>
      <w:u w:val="none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eastAsia="Times New Roman" w:cs="Times New Roman"/>
      <w:color w:val="000000"/>
      <w:sz w:val="20"/>
      <w:szCs w:val="20"/>
      <w:u w:val="none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eastAsia="Times New Roman" w:cs="Times New Roman"/>
      <w:b/>
      <w:bCs/>
      <w:i/>
      <w:iCs/>
      <w:color w:val="000000"/>
      <w:u w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eastAsia="Times New Roman" w:cs="Times New Roman"/>
      <w:color w:val="000000"/>
      <w:u w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eastAsia="Times New Roman" w:cs="Times New Roman"/>
      <w:color w:val="000000"/>
      <w:sz w:val="20"/>
      <w:szCs w:val="20"/>
      <w:u w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eastAsia="Times New Roman" w:cs="Times New Roman"/>
      <w:i/>
      <w:iCs/>
      <w:color w:val="000000"/>
      <w:sz w:val="20"/>
      <w:szCs w:val="20"/>
      <w:u w:val="non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eastAsia="Times New Roman" w:cs="Times New Roman"/>
      <w:b/>
      <w:bCs/>
      <w:color w:val="000000"/>
      <w:sz w:val="18"/>
      <w:szCs w:val="18"/>
      <w:u w:val="none"/>
    </w:rPr>
  </w:style>
  <w:style w:type="character" w:styleId="Strong">
    <w:name w:val="Strong"/>
    <w:basedOn w:val="DefaultParagraphFont"/>
    <w:uiPriority w:val="22"/>
    <w:qFormat/>
    <w:rsid w:val="00FC693F"/>
    <w:rPr>
      <w:rFonts w:ascii="Times New Roman" w:hAnsi="Times New Roman" w:eastAsia="Times New Roman" w:cs="Times New Roman"/>
      <w:b/>
      <w:bCs/>
      <w:color w:val="000000"/>
      <w:u w:val="none"/>
    </w:rPr>
  </w:style>
  <w:style w:type="character" w:styleId="Emphasis">
    <w:name w:val="Emphasis"/>
    <w:basedOn w:val="DefaultParagraphFont"/>
    <w:uiPriority w:val="20"/>
    <w:qFormat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000000"/>
      </w:pBdr>
      <w:spacing w:before="200" w:after="280"/>
      <w:ind w:left="936" w:right="936"/>
    </w:pPr>
    <w:rPr>
      <w:rFonts w:ascii="Times New Roman" w:hAnsi="Times New Roman" w:eastAsia="Times New Roman" w:cs="Times New Roman"/>
      <w:b/>
      <w:bCs/>
      <w:i/>
      <w:iCs/>
      <w:color w:val="000000"/>
      <w:u w:val="none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Times New Roman" w:hAnsi="Times New Roman" w:eastAsia="Times New Roman" w:cs="Times New Roman"/>
      <w:b/>
      <w:bCs/>
      <w:i/>
      <w:iCs/>
      <w:color w:val="000000"/>
      <w:u w:val="none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Times New Roman" w:hAnsi="Times New Roman" w:eastAsia="Times New Roman" w:cs="Times New Roman"/>
      <w:b/>
      <w:bCs/>
      <w:i/>
      <w:iCs/>
      <w:color w:val="000000"/>
      <w:u w:val="none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Times New Roman" w:hAnsi="Times New Roman" w:eastAsia="Times New Roman" w:cs="Times New Roman"/>
      <w:smallCaps/>
      <w:color w:val="000000"/>
      <w:u w:val="non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Times New Roman" w:hAnsi="Times New Roman" w:eastAsia="Times New Roman" w:cs="Times New Roman"/>
      <w:b/>
      <w:bCs/>
      <w:smallCaps/>
      <w:color w:val="000000"/>
      <w:spacing w:val="5"/>
      <w:u w:val="none"/>
    </w:rPr>
  </w:style>
  <w:style w:type="character" w:styleId="BookTitle">
    <w:name w:val="Book Title"/>
    <w:basedOn w:val="DefaultParagraphFont"/>
    <w:uiPriority w:val="33"/>
    <w:qFormat/>
    <w:rsid w:val="00FC693F"/>
    <w:rPr>
      <w:rFonts w:ascii="Times New Roman" w:hAnsi="Times New Roman" w:eastAsia="Times New Roman" w:cs="Times New Roman"/>
      <w:b/>
      <w:bCs/>
      <w:smallCaps/>
      <w:color w:val="000000"/>
      <w:spacing w:val="5"/>
      <w:u w:val="none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hAnsi="Times New Roman" w:eastAsia="Times New Roman" w:cs="Times New Roman"/>
      <w:color w:val="000000"/>
      <w:u w:val="none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C0C0C0" w:themeFill="text1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C0C0C0" w:themeFill="text1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D3DFEE" w:themeFill="accent1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D3DFEE" w:themeFill="accent1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EFD3D2" w:themeFill="accent2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EFD3D2" w:themeFill="accent2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E6EED5" w:themeFill="accent3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E6EED5" w:themeFill="accent3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DFD8E8" w:themeFill="accent4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DFD8E8" w:themeFill="accent4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D2EAF1" w:themeFill="accent5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D2EAF1" w:themeFill="accent5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FDE4D0" w:themeFill="accent6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FDE4D0" w:themeFill="accent6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C0C0C0" w:themeFill="text1" w:themeFillTint="3F"/>
      </w:tcPr>
    </w:tblStylePr>
    <w:tblStylePr w:type="band1Horz">
      <w:tblPr/>
      <w:tcPr>
        <w:shd w:val="clear" w:color="000000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D3DFEE" w:themeFill="accent1" w:themeFillTint="3F"/>
      </w:tcPr>
    </w:tblStylePr>
    <w:tblStylePr w:type="band1Horz">
      <w:tblPr/>
      <w:tcPr>
        <w:shd w:val="clear" w:color="000000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EFD3D2" w:themeFill="accent2" w:themeFillTint="3F"/>
      </w:tcPr>
    </w:tblStylePr>
    <w:tblStylePr w:type="band1Horz">
      <w:tblPr/>
      <w:tcPr>
        <w:shd w:val="clear" w:color="000000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E6EED5" w:themeFill="accent3" w:themeFillTint="3F"/>
      </w:tcPr>
    </w:tblStylePr>
    <w:tblStylePr w:type="band1Horz">
      <w:tblPr/>
      <w:tcPr>
        <w:shd w:val="clear" w:color="000000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DFD8E8" w:themeFill="accent4" w:themeFillTint="3F"/>
      </w:tcPr>
    </w:tblStylePr>
    <w:tblStylePr w:type="band1Horz">
      <w:tblPr/>
      <w:tcPr>
        <w:shd w:val="clear" w:color="000000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D2EAF1" w:themeFill="accent5" w:themeFillTint="3F"/>
      </w:tcPr>
    </w:tblStylePr>
    <w:tblStylePr w:type="band1Horz">
      <w:tblPr/>
      <w:tcPr>
        <w:shd w:val="clear" w:color="000000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FDE4D0" w:themeFill="accent6" w:themeFillTint="3F"/>
      </w:tcPr>
    </w:tblStylePr>
    <w:tblStylePr w:type="band1Horz">
      <w:tblPr/>
      <w:tcPr>
        <w:shd w:val="clear" w:color="000000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C0C0C0" w:themeFill="text1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D3DFEE" w:themeFill="accent1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EFD3D2" w:themeFill="accent2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E6EED5" w:themeFill="accent3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DFD8E8" w:themeFill="accent4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D2EAF1" w:themeFill="accent5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FDE4D0" w:themeFill="accent6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808080" w:themeFill="text1" w:themeFillTint="7F"/>
      </w:tcPr>
    </w:tblStylePr>
    <w:tblStylePr w:type="band1Horz">
      <w:tblPr/>
      <w:tcPr>
        <w:shd w:val="clear" w:color="000000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A7BFDE" w:themeFill="accent1" w:themeFillTint="7F"/>
      </w:tcPr>
    </w:tblStylePr>
    <w:tblStylePr w:type="band1Horz">
      <w:tblPr/>
      <w:tcPr>
        <w:shd w:val="clear" w:color="000000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DFA7A6" w:themeFill="accent2" w:themeFillTint="7F"/>
      </w:tcPr>
    </w:tblStylePr>
    <w:tblStylePr w:type="band1Horz">
      <w:tblPr/>
      <w:tcPr>
        <w:shd w:val="clear" w:color="000000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CDDDAC" w:themeFill="accent3" w:themeFillTint="7F"/>
      </w:tcPr>
    </w:tblStylePr>
    <w:tblStylePr w:type="band1Horz">
      <w:tblPr/>
      <w:tcPr>
        <w:shd w:val="clear" w:color="000000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BFB1D0" w:themeFill="accent4" w:themeFillTint="7F"/>
      </w:tcPr>
    </w:tblStylePr>
    <w:tblStylePr w:type="band1Horz">
      <w:tblPr/>
      <w:tcPr>
        <w:shd w:val="clear" w:color="000000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A5D5E2" w:themeFill="accent5" w:themeFillTint="7F"/>
      </w:tcPr>
    </w:tblStylePr>
    <w:tblStylePr w:type="band1Horz">
      <w:tblPr/>
      <w:tcPr>
        <w:shd w:val="clear" w:color="000000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FBCAA2" w:themeFill="accent6" w:themeFillTint="7F"/>
      </w:tcPr>
    </w:tblStylePr>
    <w:tblStylePr w:type="band1Horz">
      <w:tblPr/>
      <w:tcPr>
        <w:shd w:val="clear" w:color="000000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C0C0C0" w:themeFill="text1" w:themeFillTint="3F"/>
    </w:tcPr>
    <w:tblStylePr w:type="firstRow">
      <w:rPr>
        <w:b/>
        <w:bCs/>
        <w:color w:val="000000"/>
      </w:rPr>
      <w:tblPr/>
      <w:tcPr>
        <w:shd w:val="clear" w:color="000000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CCCCCC" w:themeFill="text1" w:themeFillTint="33"/>
      </w:tcPr>
    </w:tblStylePr>
    <w:tblStylePr w:type="band1Vert">
      <w:tblPr/>
      <w:tcPr>
        <w:shd w:val="clear" w:color="000000" w:fill="808080" w:themeFill="text1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808080" w:themeFill="text1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3DFEE" w:themeFill="accent1" w:themeFillTint="3F"/>
    </w:tcPr>
    <w:tblStylePr w:type="firstRow">
      <w:rPr>
        <w:b/>
        <w:bCs/>
        <w:color w:val="000000"/>
      </w:rPr>
      <w:tblPr/>
      <w:tcPr>
        <w:shd w:val="clear" w:color="000000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DBE5F1" w:themeFill="accent1" w:themeFillTint="33"/>
      </w:tcPr>
    </w:tblStylePr>
    <w:tblStylePr w:type="band1Vert">
      <w:tblPr/>
      <w:tcPr>
        <w:shd w:val="clear" w:color="000000" w:fill="A7BFDE" w:themeFill="accent1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A7BFDE" w:themeFill="accent1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FD3D2" w:themeFill="accent2" w:themeFillTint="3F"/>
    </w:tcPr>
    <w:tblStylePr w:type="firstRow">
      <w:rPr>
        <w:b/>
        <w:bCs/>
        <w:color w:val="000000"/>
      </w:rPr>
      <w:tblPr/>
      <w:tcPr>
        <w:shd w:val="clear" w:color="000000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2DBDB" w:themeFill="accent2" w:themeFillTint="33"/>
      </w:tcPr>
    </w:tblStylePr>
    <w:tblStylePr w:type="band1Vert">
      <w:tblPr/>
      <w:tcPr>
        <w:shd w:val="clear" w:color="000000" w:fill="DFA7A6" w:themeFill="accent2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DFA7A6" w:themeFill="accent2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6EED5" w:themeFill="accent3" w:themeFillTint="3F"/>
    </w:tcPr>
    <w:tblStylePr w:type="firstRow">
      <w:rPr>
        <w:b/>
        <w:bCs/>
        <w:color w:val="000000"/>
      </w:rPr>
      <w:tblPr/>
      <w:tcPr>
        <w:shd w:val="clear" w:color="000000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EAF1DD" w:themeFill="accent3" w:themeFillTint="33"/>
      </w:tcPr>
    </w:tblStylePr>
    <w:tblStylePr w:type="band1Vert">
      <w:tblPr/>
      <w:tcPr>
        <w:shd w:val="clear" w:color="000000" w:fill="CDDDAC" w:themeFill="accent3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CDDDAC" w:themeFill="accent3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FD8E8" w:themeFill="accent4" w:themeFillTint="3F"/>
    </w:tcPr>
    <w:tblStylePr w:type="firstRow">
      <w:rPr>
        <w:b/>
        <w:bCs/>
        <w:color w:val="000000"/>
      </w:rPr>
      <w:tblPr/>
      <w:tcPr>
        <w:shd w:val="clear" w:color="000000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E5DFEC" w:themeFill="accent4" w:themeFillTint="33"/>
      </w:tcPr>
    </w:tblStylePr>
    <w:tblStylePr w:type="band1Vert">
      <w:tblPr/>
      <w:tcPr>
        <w:shd w:val="clear" w:color="000000" w:fill="BFB1D0" w:themeFill="accent4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BFB1D0" w:themeFill="accent4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2EAF1" w:themeFill="accent5" w:themeFillTint="3F"/>
    </w:tcPr>
    <w:tblStylePr w:type="firstRow">
      <w:rPr>
        <w:b/>
        <w:bCs/>
        <w:color w:val="000000"/>
      </w:rPr>
      <w:tblPr/>
      <w:tcPr>
        <w:shd w:val="clear" w:color="000000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DAEEF3" w:themeFill="accent5" w:themeFillTint="33"/>
      </w:tcPr>
    </w:tblStylePr>
    <w:tblStylePr w:type="band1Vert">
      <w:tblPr/>
      <w:tcPr>
        <w:shd w:val="clear" w:color="000000" w:fill="A5D5E2" w:themeFill="accent5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A5D5E2" w:themeFill="accent5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DE4D0" w:themeFill="accent6" w:themeFillTint="3F"/>
    </w:tcPr>
    <w:tblStylePr w:type="firstRow">
      <w:rPr>
        <w:b/>
        <w:bCs/>
        <w:color w:val="000000"/>
      </w:rPr>
      <w:tblPr/>
      <w:tcPr>
        <w:shd w:val="clear" w:color="000000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DE9D9" w:themeFill="accent6" w:themeFillTint="33"/>
      </w:tcPr>
    </w:tblStylePr>
    <w:tblStylePr w:type="band1Vert">
      <w:tblPr/>
      <w:tcPr>
        <w:shd w:val="clear" w:color="000000" w:fill="FBCAA2" w:themeFill="accent6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FBCAA2" w:themeFill="accent6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000000" w:themeFill="text1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808080" w:themeFill="text1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4F81BD" w:themeFill="accent1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A7BFDE" w:themeFill="accent1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C0504D" w:themeFill="accent2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DFA7A6" w:themeFill="accent2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9BBB59" w:themeFill="accent3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CDDDAC" w:themeFill="accent3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8064A2" w:themeFill="accent4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BFB1D0" w:themeFill="accent4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4BACC6" w:themeFill="accent5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A5D5E2" w:themeFill="accent5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F79646" w:themeFill="accent6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FBCAA2" w:themeFill="accent6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000000" w:themeFill="text1" w:themeFillShade="BF"/>
      </w:tcPr>
    </w:tblStylePr>
    <w:tblStylePr w:type="band1Vert">
      <w:tblPr/>
      <w:tcPr>
        <w:shd w:val="clear" w:color="000000" w:fill="999999" w:themeFill="text1" w:themeFillTint="66"/>
      </w:tcPr>
    </w:tblStylePr>
    <w:tblStylePr w:type="band1Horz">
      <w:tblPr/>
      <w:tcPr>
        <w:shd w:val="clear" w:color="000000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2C4C74" w:themeFill="accent1" w:themeFillShade="99"/>
      </w:tcPr>
    </w:tblStylePr>
    <w:tblStylePr w:type="band1Vert">
      <w:tblPr/>
      <w:tcPr>
        <w:shd w:val="clear" w:color="000000" w:fill="B8CCE4" w:themeFill="accent1" w:themeFillTint="66"/>
      </w:tcPr>
    </w:tblStylePr>
    <w:tblStylePr w:type="band1Horz">
      <w:tblPr/>
      <w:tcPr>
        <w:shd w:val="clear" w:color="000000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772C2A" w:themeFill="accent2" w:themeFillShade="99"/>
      </w:tcPr>
    </w:tblStylePr>
    <w:tblStylePr w:type="band1Vert">
      <w:tblPr/>
      <w:tcPr>
        <w:shd w:val="clear" w:color="000000" w:fill="E5B8B7" w:themeFill="accent2" w:themeFillTint="66"/>
      </w:tcPr>
    </w:tblStylePr>
    <w:tblStylePr w:type="band1Horz">
      <w:tblPr/>
      <w:tcPr>
        <w:shd w:val="clear" w:color="000000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5E7530" w:themeFill="accent3" w:themeFillShade="99"/>
      </w:tcPr>
    </w:tblStylePr>
    <w:tblStylePr w:type="band1Vert">
      <w:tblPr/>
      <w:tcPr>
        <w:shd w:val="clear" w:color="000000" w:fill="D6E3BC" w:themeFill="accent3" w:themeFillTint="66"/>
      </w:tcPr>
    </w:tblStylePr>
    <w:tblStylePr w:type="band1Horz">
      <w:tblPr/>
      <w:tcPr>
        <w:shd w:val="clear" w:color="000000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4C3B62" w:themeFill="accent4" w:themeFillShade="99"/>
      </w:tcPr>
    </w:tblStylePr>
    <w:tblStylePr w:type="band1Vert">
      <w:tblPr/>
      <w:tcPr>
        <w:shd w:val="clear" w:color="000000" w:fill="CCC0D9" w:themeFill="accent4" w:themeFillTint="66"/>
      </w:tcPr>
    </w:tblStylePr>
    <w:tblStylePr w:type="band1Horz">
      <w:tblPr/>
      <w:tcPr>
        <w:shd w:val="clear" w:color="000000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276A7C" w:themeFill="accent5" w:themeFillShade="99"/>
      </w:tcPr>
    </w:tblStylePr>
    <w:tblStylePr w:type="band1Vert">
      <w:tblPr/>
      <w:tcPr>
        <w:shd w:val="clear" w:color="000000" w:fill="B6DDE8" w:themeFill="accent5" w:themeFillTint="66"/>
      </w:tcPr>
    </w:tblStylePr>
    <w:tblStylePr w:type="band1Horz">
      <w:tblPr/>
      <w:tcPr>
        <w:shd w:val="clear" w:color="000000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B65608" w:themeFill="accent6" w:themeFillShade="99"/>
      </w:tcPr>
    </w:tblStylePr>
    <w:tblStylePr w:type="band1Vert">
      <w:tblPr/>
      <w:tcPr>
        <w:shd w:val="clear" w:color="000000" w:fill="FBD4B4" w:themeFill="accent6" w:themeFillTint="66"/>
      </w:tcPr>
    </w:tblStylePr>
    <w:tblStylePr w:type="band1Horz">
      <w:tblPr/>
      <w:tcPr>
        <w:shd w:val="clear" w:color="000000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C0C0C0" w:themeFill="text1" w:themeFillTint="3F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D3DFEE" w:themeFill="accent1" w:themeFillTint="3F"/>
      </w:tcPr>
    </w:tblStylePr>
    <w:tblStylePr w:type="band1Horz">
      <w:tblPr/>
      <w:tcPr>
        <w:shd w:val="clear" w:color="000000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EFD3D2" w:themeFill="accent2" w:themeFillTint="3F"/>
      </w:tcPr>
    </w:tblStylePr>
    <w:tblStylePr w:type="band1Horz">
      <w:tblPr/>
      <w:tcPr>
        <w:shd w:val="clear" w:color="000000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E6EED5" w:themeFill="accent3" w:themeFillTint="3F"/>
      </w:tcPr>
    </w:tblStylePr>
    <w:tblStylePr w:type="band1Horz">
      <w:tblPr/>
      <w:tcPr>
        <w:shd w:val="clear" w:color="000000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DFD8E8" w:themeFill="accent4" w:themeFillTint="3F"/>
      </w:tcPr>
    </w:tblStylePr>
    <w:tblStylePr w:type="band1Horz">
      <w:tblPr/>
      <w:tcPr>
        <w:shd w:val="clear" w:color="000000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D2EAF1" w:themeFill="accent5" w:themeFillTint="3F"/>
      </w:tcPr>
    </w:tblStylePr>
    <w:tblStylePr w:type="band1Horz">
      <w:tblPr/>
      <w:tcPr>
        <w:shd w:val="clear" w:color="000000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DE4D0" w:themeFill="accent6" w:themeFillTint="3F"/>
      </w:tcPr>
    </w:tblStylePr>
    <w:tblStylePr w:type="band1Horz">
      <w:tblPr/>
      <w:tcPr>
        <w:shd w:val="clear" w:color="000000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CCCCCC" w:themeFill="text1" w:themeFillTint="33"/>
    </w:tcPr>
    <w:tblStylePr w:type="firstRow">
      <w:rPr>
        <w:b/>
        <w:bCs/>
      </w:rPr>
      <w:tblPr/>
      <w:tcPr>
        <w:shd w:val="clear" w:color="000000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000000" w:fill="999999" w:themeFill="text1" w:themeFillTint="66"/>
      </w:tcPr>
    </w:tblStylePr>
    <w:tblStylePr w:type="firstCol">
      <w:rPr>
        <w:color w:val="000000"/>
      </w:rPr>
      <w:tblPr/>
      <w:tcPr>
        <w:shd w:val="clear" w:color="000000" w:fill="000000" w:themeFill="text1" w:themeFillShade="BF"/>
      </w:tcPr>
    </w:tblStylePr>
    <w:tblStylePr w:type="lastCol">
      <w:rPr>
        <w:color w:val="000000"/>
      </w:rPr>
      <w:tblPr/>
      <w:tcPr>
        <w:shd w:val="clear" w:color="000000" w:fill="000000" w:themeFill="text1" w:themeFillShade="BF"/>
      </w:tcPr>
    </w:tblStylePr>
    <w:tblStylePr w:type="band1Vert">
      <w:tblPr/>
      <w:tcPr>
        <w:shd w:val="clear" w:color="000000" w:fill="808080" w:themeFill="text1" w:themeFillTint="7F"/>
      </w:tcPr>
    </w:tblStylePr>
    <w:tblStylePr w:type="band1Horz">
      <w:tblPr/>
      <w:tcPr>
        <w:shd w:val="clear" w:color="000000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BE5F1" w:themeFill="accent1" w:themeFillTint="33"/>
    </w:tcPr>
    <w:tblStylePr w:type="firstRow">
      <w:rPr>
        <w:b/>
        <w:bCs/>
      </w:rPr>
      <w:tblPr/>
      <w:tcPr>
        <w:shd w:val="clear" w:color="000000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000000" w:fill="B8CCE4" w:themeFill="accent1" w:themeFillTint="66"/>
      </w:tcPr>
    </w:tblStylePr>
    <w:tblStylePr w:type="firstCol">
      <w:rPr>
        <w:color w:val="000000"/>
      </w:rPr>
      <w:tblPr/>
      <w:tcPr>
        <w:shd w:val="clear" w:color="000000" w:fill="365F91" w:themeFill="accent1" w:themeFillShade="BF"/>
      </w:tcPr>
    </w:tblStylePr>
    <w:tblStylePr w:type="lastCol">
      <w:rPr>
        <w:color w:val="000000"/>
      </w:rPr>
      <w:tblPr/>
      <w:tcPr>
        <w:shd w:val="clear" w:color="000000" w:fill="365F91" w:themeFill="accent1" w:themeFillShade="BF"/>
      </w:tcPr>
    </w:tblStylePr>
    <w:tblStylePr w:type="band1Vert">
      <w:tblPr/>
      <w:tcPr>
        <w:shd w:val="clear" w:color="000000" w:fill="A7BFDE" w:themeFill="accent1" w:themeFillTint="7F"/>
      </w:tcPr>
    </w:tblStylePr>
    <w:tblStylePr w:type="band1Horz">
      <w:tblPr/>
      <w:tcPr>
        <w:shd w:val="clear" w:color="000000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2DBDB" w:themeFill="accent2" w:themeFillTint="33"/>
    </w:tcPr>
    <w:tblStylePr w:type="firstRow">
      <w:rPr>
        <w:b/>
        <w:bCs/>
      </w:rPr>
      <w:tblPr/>
      <w:tcPr>
        <w:shd w:val="clear" w:color="000000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000000" w:fill="E5B8B7" w:themeFill="accent2" w:themeFillTint="66"/>
      </w:tcPr>
    </w:tblStylePr>
    <w:tblStylePr w:type="firstCol">
      <w:rPr>
        <w:color w:val="000000"/>
      </w:rPr>
      <w:tblPr/>
      <w:tcPr>
        <w:shd w:val="clear" w:color="000000" w:fill="943634" w:themeFill="accent2" w:themeFillShade="BF"/>
      </w:tcPr>
    </w:tblStylePr>
    <w:tblStylePr w:type="lastCol">
      <w:rPr>
        <w:color w:val="000000"/>
      </w:rPr>
      <w:tblPr/>
      <w:tcPr>
        <w:shd w:val="clear" w:color="000000" w:fill="943634" w:themeFill="accent2" w:themeFillShade="BF"/>
      </w:tcPr>
    </w:tblStylePr>
    <w:tblStylePr w:type="band1Vert">
      <w:tblPr/>
      <w:tcPr>
        <w:shd w:val="clear" w:color="000000" w:fill="DFA7A6" w:themeFill="accent2" w:themeFillTint="7F"/>
      </w:tcPr>
    </w:tblStylePr>
    <w:tblStylePr w:type="band1Horz">
      <w:tblPr/>
      <w:tcPr>
        <w:shd w:val="clear" w:color="000000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AF1DD" w:themeFill="accent3" w:themeFillTint="33"/>
    </w:tcPr>
    <w:tblStylePr w:type="firstRow">
      <w:rPr>
        <w:b/>
        <w:bCs/>
      </w:rPr>
      <w:tblPr/>
      <w:tcPr>
        <w:shd w:val="clear" w:color="000000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000000" w:fill="D6E3BC" w:themeFill="accent3" w:themeFillTint="66"/>
      </w:tcPr>
    </w:tblStylePr>
    <w:tblStylePr w:type="firstCol">
      <w:rPr>
        <w:color w:val="000000"/>
      </w:rPr>
      <w:tblPr/>
      <w:tcPr>
        <w:shd w:val="clear" w:color="000000" w:fill="76923C" w:themeFill="accent3" w:themeFillShade="BF"/>
      </w:tcPr>
    </w:tblStylePr>
    <w:tblStylePr w:type="lastCol">
      <w:rPr>
        <w:color w:val="000000"/>
      </w:rPr>
      <w:tblPr/>
      <w:tcPr>
        <w:shd w:val="clear" w:color="000000" w:fill="76923C" w:themeFill="accent3" w:themeFillShade="BF"/>
      </w:tcPr>
    </w:tblStylePr>
    <w:tblStylePr w:type="band1Vert">
      <w:tblPr/>
      <w:tcPr>
        <w:shd w:val="clear" w:color="000000" w:fill="CDDDAC" w:themeFill="accent3" w:themeFillTint="7F"/>
      </w:tcPr>
    </w:tblStylePr>
    <w:tblStylePr w:type="band1Horz">
      <w:tblPr/>
      <w:tcPr>
        <w:shd w:val="clear" w:color="000000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5DFEC" w:themeFill="accent4" w:themeFillTint="33"/>
    </w:tcPr>
    <w:tblStylePr w:type="firstRow">
      <w:rPr>
        <w:b/>
        <w:bCs/>
      </w:rPr>
      <w:tblPr/>
      <w:tcPr>
        <w:shd w:val="clear" w:color="000000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000000" w:fill="CCC0D9" w:themeFill="accent4" w:themeFillTint="66"/>
      </w:tcPr>
    </w:tblStylePr>
    <w:tblStylePr w:type="firstCol">
      <w:rPr>
        <w:color w:val="000000"/>
      </w:rPr>
      <w:tblPr/>
      <w:tcPr>
        <w:shd w:val="clear" w:color="000000" w:fill="5F497A" w:themeFill="accent4" w:themeFillShade="BF"/>
      </w:tcPr>
    </w:tblStylePr>
    <w:tblStylePr w:type="lastCol">
      <w:rPr>
        <w:color w:val="000000"/>
      </w:rPr>
      <w:tblPr/>
      <w:tcPr>
        <w:shd w:val="clear" w:color="000000" w:fill="5F497A" w:themeFill="accent4" w:themeFillShade="BF"/>
      </w:tcPr>
    </w:tblStylePr>
    <w:tblStylePr w:type="band1Vert">
      <w:tblPr/>
      <w:tcPr>
        <w:shd w:val="clear" w:color="000000" w:fill="BFB1D0" w:themeFill="accent4" w:themeFillTint="7F"/>
      </w:tcPr>
    </w:tblStylePr>
    <w:tblStylePr w:type="band1Horz">
      <w:tblPr/>
      <w:tcPr>
        <w:shd w:val="clear" w:color="000000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AEEF3" w:themeFill="accent5" w:themeFillTint="33"/>
    </w:tcPr>
    <w:tblStylePr w:type="firstRow">
      <w:rPr>
        <w:b/>
        <w:bCs/>
      </w:rPr>
      <w:tblPr/>
      <w:tcPr>
        <w:shd w:val="clear" w:color="000000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000000" w:fill="B6DDE8" w:themeFill="accent5" w:themeFillTint="66"/>
      </w:tcPr>
    </w:tblStylePr>
    <w:tblStylePr w:type="firstCol">
      <w:rPr>
        <w:color w:val="000000"/>
      </w:rPr>
      <w:tblPr/>
      <w:tcPr>
        <w:shd w:val="clear" w:color="000000" w:fill="31849B" w:themeFill="accent5" w:themeFillShade="BF"/>
      </w:tcPr>
    </w:tblStylePr>
    <w:tblStylePr w:type="lastCol">
      <w:rPr>
        <w:color w:val="000000"/>
      </w:rPr>
      <w:tblPr/>
      <w:tcPr>
        <w:shd w:val="clear" w:color="000000" w:fill="31849B" w:themeFill="accent5" w:themeFillShade="BF"/>
      </w:tcPr>
    </w:tblStylePr>
    <w:tblStylePr w:type="band1Vert">
      <w:tblPr/>
      <w:tcPr>
        <w:shd w:val="clear" w:color="000000" w:fill="A5D5E2" w:themeFill="accent5" w:themeFillTint="7F"/>
      </w:tcPr>
    </w:tblStylePr>
    <w:tblStylePr w:type="band1Horz">
      <w:tblPr/>
      <w:tcPr>
        <w:shd w:val="clear" w:color="000000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DE9D9" w:themeFill="accent6" w:themeFillTint="33"/>
    </w:tcPr>
    <w:tblStylePr w:type="firstRow">
      <w:rPr>
        <w:b/>
        <w:bCs/>
      </w:rPr>
      <w:tblPr/>
      <w:tcPr>
        <w:shd w:val="clear" w:color="000000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000000" w:fill="FBD4B4" w:themeFill="accent6" w:themeFillTint="66"/>
      </w:tcPr>
    </w:tblStylePr>
    <w:tblStylePr w:type="firstCol">
      <w:rPr>
        <w:color w:val="000000"/>
      </w:rPr>
      <w:tblPr/>
      <w:tcPr>
        <w:shd w:val="clear" w:color="000000" w:fill="E36C0A" w:themeFill="accent6" w:themeFillShade="BF"/>
      </w:tcPr>
    </w:tblStylePr>
    <w:tblStylePr w:type="lastCol">
      <w:rPr>
        <w:color w:val="000000"/>
      </w:rPr>
      <w:tblPr/>
      <w:tcPr>
        <w:shd w:val="clear" w:color="000000" w:fill="E36C0A" w:themeFill="accent6" w:themeFillShade="BF"/>
      </w:tcPr>
    </w:tblStylePr>
    <w:tblStylePr w:type="band1Vert">
      <w:tblPr/>
      <w:tcPr>
        <w:shd w:val="clear" w:color="000000" w:fill="FBCAA2" w:themeFill="accent6" w:themeFillTint="7F"/>
      </w:tcPr>
    </w:tblStylePr>
    <w:tblStylePr w:type="band1Horz">
      <w:tblPr/>
      <w:tcPr>
        <w:shd w:val="clear" w:color="000000" w:fill="FBCAA2" w:themeFill="accent6" w:themeFillTint="7F"/>
      </w:tcPr>
    </w:tblStylePr>
  </w:style>
  <w:style w:type="paragraph" w:customStyle="1" w:styleId="GOSTList">
    <w:name w:val="GOST List"/>
    <w:pPr>
      <w:spacing w:before="0" w:after="0" w:line="360" w:lineRule="auto"/>
      <w:ind w:hanging="357" w:left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  <w:style w:type="paragraph" w:customStyle="1" w:styleId="GOSTQuote">
    <w:name w:val="GOST Quote"/>
    <w:pPr>
      <w:spacing w:before="0" w:after="0" w:line="360" w:lineRule="auto"/>
      <w:ind w:left="709" w:firstLine="0"/>
      <w:jc w:val="both"/>
    </w:pPr>
    <w:rPr>
      <w:rFonts w:ascii="Times New Roman" w:hAnsi="Times New Roman" w:eastAsia="Times New Roman" w:cs="Times New Roman"/>
      <w:b w:val="0"/>
      <w:i/>
      <w:color w:val="000000"/>
      <w:sz w:val="28"/>
      <w:u w:val="none"/>
    </w:rPr>
  </w:style>
  <w:style w:type="paragraph" w:customStyle="1" w:styleId="GOSTCode">
    <w:name w:val="GOST Code"/>
    <w:pPr>
      <w:spacing w:before="60" w:after="60" w:line="240" w:lineRule="auto"/>
      <w:ind w:left="709" w:firstLine="0"/>
    </w:pPr>
    <w:rPr>
      <w:rFonts w:ascii="Times New Roman" w:hAnsi="Times New Roman" w:eastAsia="Times New Roman" w:cs="Times New Roman"/>
      <w:b w:val="0"/>
      <w:i w:val="0"/>
      <w:color w:val="000000"/>
      <w:sz w:val="24"/>
      <w:u w:val="none"/>
    </w:rPr>
  </w:style>
  <w:style w:type="paragraph" w:customStyle="1" w:styleId="GOSTCaption">
    <w:name w:val="GOST Caption"/>
    <w:pPr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b w:val="0"/>
      <w:i w:val="0"/>
      <w:color w:val="000000"/>
      <w:sz w:val="24"/>
      <w:u w:val="none"/>
    </w:rPr>
  </w:style>
  <w:style w:type="paragraph" w:customStyle="1" w:styleId="GOSTFigureSource">
    <w:name w:val="GOST Figure Source"/>
    <w:pPr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b w:val="0"/>
      <w:i w:val="0"/>
      <w:color w:val="000000"/>
      <w:sz w:val="24"/>
      <w:u w:val="none"/>
    </w:rPr>
  </w:style>
  <w:style w:type="paragraph" w:customStyle="1" w:styleId="GOSTFigureReference">
    <w:name w:val="GOST Figure Reference"/>
    <w:pPr>
      <w:keepNext/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  <w:style w:type="paragraph" w:customStyle="1" w:styleId="GOSTTableCaption">
    <w:name w:val="GOST Table Caption"/>
    <w:pPr>
      <w:keepNext/>
      <w:spacing w:before="0" w:after="0"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  <w:u w:val="none"/>
    </w:rPr>
  </w:style>
  <w:style w:type="paragraph" w:customStyle="1" w:styleId="GOSTTableReference">
    <w:name w:val="GOST Table Reference"/>
    <w:pPr>
      <w:keepNext/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  <w:style w:type="paragraph" w:customStyle="1" w:styleId="GOSTCoverMetadata">
    <w:name w:val="GOST Cover Metadata"/>
    <w:pPr>
      <w:spacing w:before="0" w:after="120" w:line="360" w:lineRule="auto"/>
      <w:ind w:firstLine="0"/>
      <w:jc w:val="center"/>
    </w:pPr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  <w:style w:type="paragraph" w:customStyle="1" w:styleId="GOSTNavigation">
    <w:name w:val="GOST Navigation"/>
    <w:pPr>
      <w:spacing w:before="0" w:after="60" w:line="240" w:lineRule="auto"/>
      <w:ind w:firstLine="0"/>
    </w:pPr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yperlink" Target="../requirements/&#1060;&#1057;&#1055;%20&#1089;&#1087;&#1077;&#1094;.%20&#1090;&#1088;&#1077;&#1082;%20&#1058;&#1047;.pdf" TargetMode="External"/><Relationship Id="rId12" Type="http://schemas.openxmlformats.org/officeDocument/2006/relationships/hyperlink" Target="../requirements/qa-written-fsp-2026.md" TargetMode="External"/><Relationship Id="rId13" Type="http://schemas.openxmlformats.org/officeDocument/2006/relationships/hyperlink" Target="50-completion-conformance.md" TargetMode="External"/><Relationship Id="rId14" Type="http://schemas.openxmlformats.org/officeDocument/2006/relationships/hyperlink" Target="48-release-acceptance.md" TargetMode="External"/><Relationship Id="rId15" Type="http://schemas.openxmlformats.org/officeDocument/2006/relationships/hyperlink" Target="53-self-deployment.md" TargetMode="External"/><Relationship Id="rId16" Type="http://schemas.openxmlformats.org/officeDocument/2006/relationships/hyperlink" Target="54-self-deployment-acceptance.md" TargetMode="External"/><Relationship Id="rId17" Type="http://schemas.openxmlformats.org/officeDocument/2006/relationships/image" Target="media/image1.png"/><Relationship Id="rId18" Type="http://schemas.openxmlformats.org/officeDocument/2006/relationships/image" Target="media/image2.png"/><Relationship Id="rId19" Type="http://schemas.openxmlformats.org/officeDocument/2006/relationships/image" Target="media/image3.png"/><Relationship Id="rId2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Технический отчёт текущей реализации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