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Exercises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creates and calls a stored procedure named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 This procedure should include a set of three SQL statements coded as a transaction to reflect the following change: United Parcel Service has been purchased by Federal Express Corporation and the new company is named FedUP. Rename one of the vendors and delete the other after updating the </w:t>
      </w:r>
      <w:r w:rsidDel="00000000" w:rsidR="00000000" w:rsidRPr="00000000">
        <w:rPr>
          <w:i w:val="1"/>
          <w:rtl w:val="0"/>
        </w:rPr>
        <w:t xml:space="preserve">vendor_id</w:t>
      </w:r>
      <w:r w:rsidDel="00000000" w:rsidR="00000000" w:rsidRPr="00000000">
        <w:rPr>
          <w:rtl w:val="0"/>
        </w:rPr>
        <w:t xml:space="preserve"> column in the Invoices table.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these statements execute successfully, commit the changes. Otherwise, roll back the changes.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creates and calls a stored procedure named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 This procedure should include a set of two SQL statements coded as a transaction to delete the row with an invoice ID of 114 from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table. To do this, you must first delete all line items for that invoice from the </w:t>
      </w:r>
      <w:r w:rsidDel="00000000" w:rsidR="00000000" w:rsidRPr="00000000">
        <w:rPr>
          <w:b w:val="1"/>
          <w:rtl w:val="0"/>
        </w:rPr>
        <w:t xml:space="preserve">Invoice_Line_Items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these statements execute successfully, commit the changes. Otherwise, roll back the changes.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