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ABB79" w14:textId="00CF0A7B" w:rsidR="009B41D1" w:rsidRDefault="009B41D1" w:rsidP="00321959">
      <w:pPr>
        <w:jc w:val="both"/>
        <w:rPr>
          <w:lang w:val="es-MX"/>
        </w:rPr>
      </w:pPr>
      <w:r>
        <w:rPr>
          <w:lang w:val="es-MX"/>
        </w:rPr>
        <w:t>Redacción completa del documento para quitarle el estilo IA</w:t>
      </w:r>
    </w:p>
    <w:p w14:paraId="45F85CA8" w14:textId="52923FA9" w:rsidR="00221CE3" w:rsidRDefault="00321959" w:rsidP="00321959">
      <w:pPr>
        <w:jc w:val="both"/>
        <w:rPr>
          <w:lang w:val="es-MX"/>
        </w:rPr>
      </w:pPr>
      <w:r>
        <w:rPr>
          <w:lang w:val="es-MX"/>
        </w:rPr>
        <w:t>En la introducción, parece inconexo el paso de entre las dinámicas de delincuencia y violencia en Chile y el planteamiento de la pregunta: si la crisis de seguridad está fuertemente asociada con delitos contra la vida e integridad física de las personas ¿de dónde sale el interés por centrarnos únicamente en lo patrimonial?</w:t>
      </w:r>
      <w:r w:rsidR="00FD2AC6">
        <w:rPr>
          <w:lang w:val="es-MX"/>
        </w:rPr>
        <w:t xml:space="preserve"> OK</w:t>
      </w:r>
    </w:p>
    <w:p w14:paraId="3835C0AA" w14:textId="324D0DB5" w:rsidR="00E43F46" w:rsidRDefault="00E43F46" w:rsidP="00321959">
      <w:pPr>
        <w:jc w:val="both"/>
        <w:rPr>
          <w:lang w:val="es-MX"/>
        </w:rPr>
      </w:pPr>
      <w:r>
        <w:rPr>
          <w:lang w:val="es-MX"/>
        </w:rPr>
        <w:t xml:space="preserve">“Una arista </w:t>
      </w:r>
      <w:r w:rsidR="002516B7">
        <w:rPr>
          <w:lang w:val="es-MX"/>
        </w:rPr>
        <w:t xml:space="preserve">no menos relevante de la escalada de violencia percibida por la población chilena corresponde a los delitos contra la propiedad. </w:t>
      </w:r>
      <w:r>
        <w:rPr>
          <w:lang w:val="es-MX"/>
        </w:rPr>
        <w:t xml:space="preserve">Según el saber de los autores, el fenómeno del crimen patrimonial se encuentra poco estudiado por la literatura </w:t>
      </w:r>
      <w:r w:rsidR="009B41D1">
        <w:rPr>
          <w:lang w:val="es-MX"/>
        </w:rPr>
        <w:t>criminológica especializada, centrándose los análisis en aspectos jurídicos y penales</w:t>
      </w:r>
      <w:r>
        <w:rPr>
          <w:lang w:val="es-MX"/>
        </w:rPr>
        <w:t>”</w:t>
      </w:r>
      <w:r w:rsidR="00FD2AC6">
        <w:rPr>
          <w:lang w:val="es-MX"/>
        </w:rPr>
        <w:t xml:space="preserve"> OK</w:t>
      </w:r>
    </w:p>
    <w:p w14:paraId="6F433648" w14:textId="3E5CBAD3" w:rsidR="00A12982" w:rsidRDefault="00A12982" w:rsidP="00A12982">
      <w:pPr>
        <w:jc w:val="both"/>
        <w:rPr>
          <w:lang w:val="es-MX"/>
        </w:rPr>
      </w:pPr>
      <w:r>
        <w:rPr>
          <w:lang w:val="es-MX"/>
        </w:rPr>
        <w:t>Donde dice “</w:t>
      </w:r>
      <w:r w:rsidRPr="00A12982">
        <w:rPr>
          <w:lang w:val="es-MX"/>
        </w:rPr>
        <w:t>Ambas hipótesis son empíricamente distinguibles y tienen implicancias de política pública</w:t>
      </w:r>
      <w:r>
        <w:rPr>
          <w:lang w:val="es-MX"/>
        </w:rPr>
        <w:t xml:space="preserve"> </w:t>
      </w:r>
      <w:r w:rsidRPr="00A12982">
        <w:rPr>
          <w:lang w:val="es-MX"/>
        </w:rPr>
        <w:t>fundamentalmente distintas.</w:t>
      </w:r>
      <w:r>
        <w:rPr>
          <w:lang w:val="es-MX"/>
        </w:rPr>
        <w:t>” Esto podría ir al comienzo del párrafo.</w:t>
      </w:r>
      <w:r w:rsidR="00FD2AC6">
        <w:rPr>
          <w:lang w:val="es-MX"/>
        </w:rPr>
        <w:t xml:space="preserve"> PENDIENTE</w:t>
      </w:r>
    </w:p>
    <w:p w14:paraId="5C55C5D8" w14:textId="719D3A43" w:rsidR="00A12982" w:rsidRDefault="00A12982" w:rsidP="00A12982">
      <w:pPr>
        <w:jc w:val="both"/>
        <w:rPr>
          <w:color w:val="EE0000"/>
          <w:lang w:val="es-MX"/>
        </w:rPr>
      </w:pPr>
      <w:r w:rsidRPr="00384410">
        <w:rPr>
          <w:color w:val="EE0000"/>
          <w:lang w:val="es-MX"/>
        </w:rPr>
        <w:t>Ver si está la cita de Blumstein et al. (1988)</w:t>
      </w:r>
      <w:r w:rsidR="00384410">
        <w:rPr>
          <w:color w:val="EE0000"/>
          <w:lang w:val="es-MX"/>
        </w:rPr>
        <w:t>.</w:t>
      </w:r>
      <w:r w:rsidR="00FD2AC6">
        <w:rPr>
          <w:color w:val="EE0000"/>
          <w:lang w:val="es-MX"/>
        </w:rPr>
        <w:t xml:space="preserve"> </w:t>
      </w:r>
      <w:r w:rsidR="007667B3">
        <w:rPr>
          <w:lang w:val="es-MX"/>
        </w:rPr>
        <w:t>OK</w:t>
      </w:r>
    </w:p>
    <w:p w14:paraId="07A00FDE" w14:textId="3FB704BC" w:rsidR="00384410" w:rsidRPr="00384410" w:rsidRDefault="00384410" w:rsidP="00A12982">
      <w:pPr>
        <w:jc w:val="both"/>
        <w:rPr>
          <w:color w:val="EE0000"/>
          <w:lang w:val="es-MX"/>
        </w:rPr>
      </w:pPr>
      <w:r w:rsidRPr="00384410">
        <w:rPr>
          <w:color w:val="EE0000"/>
          <w:lang w:val="es-MX"/>
        </w:rPr>
        <w:t>Revisar el correcto registro de las referencias bibliográficas en el listado.</w:t>
      </w:r>
      <w:r w:rsidR="00FD2AC6">
        <w:rPr>
          <w:color w:val="EE0000"/>
          <w:lang w:val="es-MX"/>
        </w:rPr>
        <w:t xml:space="preserve"> </w:t>
      </w:r>
      <w:r w:rsidR="00FD2AC6">
        <w:rPr>
          <w:lang w:val="es-MX"/>
        </w:rPr>
        <w:t>PENDIENTE</w:t>
      </w:r>
    </w:p>
    <w:p w14:paraId="628438E1" w14:textId="2AFDB652" w:rsidR="00384410" w:rsidRDefault="00043934" w:rsidP="00A12982">
      <w:pPr>
        <w:jc w:val="both"/>
        <w:rPr>
          <w:lang w:val="es-MX"/>
        </w:rPr>
      </w:pPr>
      <w:r>
        <w:rPr>
          <w:lang w:val="es-MX"/>
        </w:rPr>
        <w:t>¿Hay alguna fuente que corrobore la noción que se plantea sobre la diferencia entre los tipos de delito sufrido y el comportamiento de reportar o no reportar? La entiendo y es lógica, pero son las típicas cosas que piden los revisores.</w:t>
      </w:r>
      <w:r w:rsidR="00FA0FE5">
        <w:rPr>
          <w:lang w:val="es-MX"/>
        </w:rPr>
        <w:t xml:space="preserve"> PENDIENTE</w:t>
      </w:r>
    </w:p>
    <w:p w14:paraId="6F6FE10F" w14:textId="7A87282B" w:rsidR="00043934" w:rsidRDefault="009D7E58" w:rsidP="00A12982">
      <w:pPr>
        <w:jc w:val="both"/>
        <w:rPr>
          <w:lang w:val="es-MX"/>
        </w:rPr>
      </w:pPr>
      <w:r>
        <w:rPr>
          <w:lang w:val="es-MX"/>
        </w:rPr>
        <w:t>Uso de “artefacto” p. 7, párrafo 1 oración final.</w:t>
      </w:r>
      <w:r w:rsidR="00FA0FE5">
        <w:rPr>
          <w:lang w:val="es-MX"/>
        </w:rPr>
        <w:t xml:space="preserve"> OK</w:t>
      </w:r>
    </w:p>
    <w:p w14:paraId="33ED99F3" w14:textId="762B91C8" w:rsidR="009D7E58" w:rsidRDefault="003F1F78" w:rsidP="00A12982">
      <w:pPr>
        <w:jc w:val="both"/>
        <w:rPr>
          <w:color w:val="EE0000"/>
          <w:lang w:val="es-MX"/>
        </w:rPr>
      </w:pPr>
      <w:r>
        <w:rPr>
          <w:color w:val="EE0000"/>
          <w:lang w:val="es-MX"/>
        </w:rPr>
        <w:t>Añadir cita de la UNODC</w:t>
      </w:r>
      <w:r w:rsidR="00FA0FE5">
        <w:rPr>
          <w:color w:val="EE0000"/>
          <w:lang w:val="es-MX"/>
        </w:rPr>
        <w:t xml:space="preserve"> OK</w:t>
      </w:r>
    </w:p>
    <w:p w14:paraId="71377A27" w14:textId="07A9227E" w:rsidR="00AA387B" w:rsidRDefault="00AA387B" w:rsidP="00A12982">
      <w:pPr>
        <w:jc w:val="both"/>
        <w:rPr>
          <w:lang w:val="es-MX"/>
        </w:rPr>
      </w:pPr>
      <w:r>
        <w:rPr>
          <w:lang w:val="es-MX"/>
        </w:rPr>
        <w:t>Se deben desprender hipótesis directas de la revisión de literatura. Hagámoslas consistentes con nuestros hallazgos.</w:t>
      </w:r>
      <w:r w:rsidR="00FA0FE5">
        <w:rPr>
          <w:lang w:val="es-MX"/>
        </w:rPr>
        <w:t xml:space="preserve"> OK</w:t>
      </w:r>
    </w:p>
    <w:p w14:paraId="4E0335DB" w14:textId="52E6898B" w:rsidR="003F1F78" w:rsidRDefault="003F1F78" w:rsidP="00A12982">
      <w:pPr>
        <w:jc w:val="both"/>
        <w:rPr>
          <w:lang w:val="es-MX"/>
        </w:rPr>
      </w:pPr>
      <w:r>
        <w:rPr>
          <w:lang w:val="es-MX"/>
        </w:rPr>
        <w:t>Dado que se debe entregar un documento tipo Word, hay que hacer encajar tablas y gráficos.</w:t>
      </w:r>
    </w:p>
    <w:p w14:paraId="5E88C0E5" w14:textId="115F4DFD" w:rsidR="003F1F78" w:rsidRDefault="00AD0C6F" w:rsidP="00A12982">
      <w:pPr>
        <w:jc w:val="both"/>
        <w:rPr>
          <w:lang w:val="es-MX"/>
        </w:rPr>
      </w:pPr>
      <w:r>
        <w:rPr>
          <w:lang w:val="es-MX"/>
        </w:rPr>
        <w:t>Armonizar títulos de tablas, figuras, etc. a español.</w:t>
      </w:r>
      <w:r w:rsidR="00FA0FE5">
        <w:rPr>
          <w:lang w:val="es-MX"/>
        </w:rPr>
        <w:t xml:space="preserve"> OK</w:t>
      </w:r>
    </w:p>
    <w:p w14:paraId="2B737FAC" w14:textId="738595BA" w:rsidR="00AD0C6F" w:rsidRPr="0030039C" w:rsidRDefault="00C33584" w:rsidP="00A12982">
      <w:pPr>
        <w:jc w:val="both"/>
        <w:rPr>
          <w:highlight w:val="yellow"/>
          <w:lang w:val="es-MX"/>
        </w:rPr>
      </w:pPr>
      <w:r w:rsidRPr="0030039C">
        <w:rPr>
          <w:highlight w:val="yellow"/>
          <w:lang w:val="es-MX"/>
        </w:rPr>
        <w:t>Estamos trabajando con:</w:t>
      </w:r>
    </w:p>
    <w:p w14:paraId="0867F906" w14:textId="354E397B" w:rsidR="00C33584" w:rsidRPr="0030039C" w:rsidRDefault="00C33584" w:rsidP="00A12982">
      <w:pPr>
        <w:jc w:val="both"/>
        <w:rPr>
          <w:highlight w:val="yellow"/>
          <w:lang w:val="es-MX"/>
        </w:rPr>
      </w:pPr>
      <w:r w:rsidRPr="0030039C">
        <w:rPr>
          <w:highlight w:val="yellow"/>
          <w:lang w:val="es-MX"/>
        </w:rPr>
        <w:t>Robos violentos (con intimidación; con violencia; con homicidio; con violación; con mutilación o lesiones graves; con lesiones graves; con retención de víctimas; de vehículo con violencia o intimidación</w:t>
      </w:r>
      <w:r w:rsidR="0030039C">
        <w:rPr>
          <w:highlight w:val="yellow"/>
          <w:lang w:val="es-MX"/>
        </w:rPr>
        <w:t xml:space="preserve"> incluyendo portonazo y encerrona</w:t>
      </w:r>
      <w:r w:rsidRPr="0030039C">
        <w:rPr>
          <w:highlight w:val="yellow"/>
          <w:lang w:val="es-MX"/>
        </w:rPr>
        <w:t>).</w:t>
      </w:r>
    </w:p>
    <w:p w14:paraId="7ECEE7E3" w14:textId="0C1FC6EB" w:rsidR="00C33584" w:rsidRPr="0030039C" w:rsidRDefault="00C33584" w:rsidP="00A12982">
      <w:pPr>
        <w:jc w:val="both"/>
        <w:rPr>
          <w:highlight w:val="yellow"/>
          <w:lang w:val="es-MX"/>
        </w:rPr>
      </w:pPr>
      <w:r w:rsidRPr="0030039C">
        <w:rPr>
          <w:highlight w:val="yellow"/>
          <w:lang w:val="es-MX"/>
        </w:rPr>
        <w:t>Robos por sorpresa o “lanzazo”</w:t>
      </w:r>
    </w:p>
    <w:p w14:paraId="7BB26D16" w14:textId="77777777" w:rsidR="0030039C" w:rsidRDefault="00C33584" w:rsidP="00A12982">
      <w:pPr>
        <w:jc w:val="both"/>
        <w:rPr>
          <w:lang w:val="es-MX"/>
        </w:rPr>
      </w:pPr>
      <w:r w:rsidRPr="0030039C">
        <w:rPr>
          <w:highlight w:val="yellow"/>
          <w:lang w:val="es-MX"/>
        </w:rPr>
        <w:t>Robos no violentos (</w:t>
      </w:r>
      <w:r w:rsidR="0030039C" w:rsidRPr="0030039C">
        <w:rPr>
          <w:highlight w:val="yellow"/>
          <w:lang w:val="es-MX"/>
        </w:rPr>
        <w:t>bienes nacionales de uso público incluidos accesorios automotrices; robo en lugar habitado; robo en lugar no habitado; hurtos simples y afines 7 códigos diferentes; de vehículo sin violencia; con fuerza de cajeros automáticos; saqueo; y sustracción de madera).</w:t>
      </w:r>
    </w:p>
    <w:p w14:paraId="4DA84089" w14:textId="49D7B7FA" w:rsidR="00C33584" w:rsidRDefault="0030039C" w:rsidP="00A12982">
      <w:pPr>
        <w:jc w:val="both"/>
        <w:rPr>
          <w:lang w:val="es-MX"/>
        </w:rPr>
      </w:pPr>
      <w:r>
        <w:rPr>
          <w:lang w:val="es-MX"/>
        </w:rPr>
        <w:t>Sección 3.3 p. 12 primer párrafo “offset” revisar y cambiar de manera acorde.</w:t>
      </w:r>
      <w:r w:rsidR="00B74D91">
        <w:rPr>
          <w:lang w:val="es-MX"/>
        </w:rPr>
        <w:t xml:space="preserve"> OK</w:t>
      </w:r>
    </w:p>
    <w:p w14:paraId="0F02145D" w14:textId="01FDA7F5" w:rsidR="0030039C" w:rsidRDefault="00094313" w:rsidP="00A12982">
      <w:pPr>
        <w:jc w:val="both"/>
        <w:rPr>
          <w:lang w:val="es-MX"/>
        </w:rPr>
      </w:pPr>
      <w:r>
        <w:rPr>
          <w:lang w:val="es-MX"/>
        </w:rPr>
        <w:t>Revisar cuarto párrafo p. 12 “por la arriba”.</w:t>
      </w:r>
    </w:p>
    <w:p w14:paraId="41B4852A" w14:textId="4F78A0B3" w:rsidR="00094313" w:rsidRDefault="00CD3597" w:rsidP="00A12982">
      <w:pPr>
        <w:jc w:val="both"/>
        <w:rPr>
          <w:lang w:val="es-MX"/>
        </w:rPr>
      </w:pPr>
      <w:r>
        <w:rPr>
          <w:lang w:val="es-MX"/>
        </w:rPr>
        <w:t>p. 13 “la parametrización es agnóstica”.</w:t>
      </w:r>
    </w:p>
    <w:p w14:paraId="2E266725" w14:textId="3B31E9EE" w:rsidR="00CD3597" w:rsidRDefault="00800C49" w:rsidP="00A12982">
      <w:pPr>
        <w:jc w:val="both"/>
        <w:rPr>
          <w:lang w:val="es-MX"/>
        </w:rPr>
      </w:pPr>
      <w:r>
        <w:rPr>
          <w:lang w:val="es-MX"/>
        </w:rPr>
        <w:lastRenderedPageBreak/>
        <w:t>¿Alguna cita que sustente la selección del Poisson-QLME?</w:t>
      </w:r>
      <w:r w:rsidR="001A29A1">
        <w:rPr>
          <w:lang w:val="es-MX"/>
        </w:rPr>
        <w:t xml:space="preserve"> Se menciona a Gourieroux et al. y Wooldridge ¿basta con eso?</w:t>
      </w:r>
      <w:r w:rsidR="001836D9">
        <w:rPr>
          <w:lang w:val="es-MX"/>
        </w:rPr>
        <w:t xml:space="preserve"> OK</w:t>
      </w:r>
    </w:p>
    <w:p w14:paraId="03C7F4F6" w14:textId="22E609BD" w:rsidR="00800C49" w:rsidRDefault="001A29A1" w:rsidP="00A12982">
      <w:pPr>
        <w:jc w:val="both"/>
        <w:rPr>
          <w:lang w:val="es-MX"/>
        </w:rPr>
      </w:pPr>
      <w:r>
        <w:rPr>
          <w:lang w:val="es-MX"/>
        </w:rPr>
        <w:t>p.</w:t>
      </w:r>
      <w:r w:rsidR="000B5C4B">
        <w:rPr>
          <w:lang w:val="es-MX"/>
        </w:rPr>
        <w:t xml:space="preserve"> </w:t>
      </w:r>
      <w:r>
        <w:rPr>
          <w:lang w:val="es-MX"/>
        </w:rPr>
        <w:t>14 párrafo 1 “trend”</w:t>
      </w:r>
    </w:p>
    <w:p w14:paraId="5DC93344" w14:textId="2F4E5835" w:rsidR="001A29A1" w:rsidRDefault="001A29A1" w:rsidP="00A12982">
      <w:pPr>
        <w:jc w:val="both"/>
        <w:rPr>
          <w:lang w:val="es-MX"/>
        </w:rPr>
      </w:pPr>
      <w:r>
        <w:rPr>
          <w:lang w:val="es-MX"/>
        </w:rPr>
        <w:t>Quizá habría que revisar la redacción en la sección de estrategia de estimación. Si bien es una sección en la que suelen fijarse los ñoños, es posible que nos peguen un palo por ahí.</w:t>
      </w:r>
      <w:r w:rsidR="001836D9">
        <w:rPr>
          <w:lang w:val="es-MX"/>
        </w:rPr>
        <w:t xml:space="preserve"> OK</w:t>
      </w:r>
    </w:p>
    <w:p w14:paraId="19D8134F" w14:textId="7E0DE687" w:rsidR="009B0935" w:rsidRDefault="009B0935" w:rsidP="00A12982">
      <w:pPr>
        <w:jc w:val="both"/>
        <w:rPr>
          <w:lang w:val="es-MX"/>
        </w:rPr>
      </w:pPr>
      <w:r>
        <w:rPr>
          <w:lang w:val="es-MX"/>
        </w:rPr>
        <w:t>Se debe estandarizar el nombre de Bai Perron, pues aparece de diferentes formas a lo largo del texto.</w:t>
      </w:r>
    </w:p>
    <w:p w14:paraId="3C265640" w14:textId="4B5D11EE" w:rsidR="009B0935" w:rsidRDefault="009B0935" w:rsidP="00A12982">
      <w:pPr>
        <w:jc w:val="both"/>
        <w:rPr>
          <w:lang w:val="es-MX"/>
        </w:rPr>
      </w:pPr>
      <w:r>
        <w:rPr>
          <w:lang w:val="es-MX"/>
        </w:rPr>
        <w:t>Revisar redacción de párrafo sobre macrozonas en p.</w:t>
      </w:r>
      <w:r w:rsidR="000B5C4B">
        <w:rPr>
          <w:lang w:val="es-MX"/>
        </w:rPr>
        <w:t xml:space="preserve"> </w:t>
      </w:r>
      <w:r>
        <w:rPr>
          <w:lang w:val="es-MX"/>
        </w:rPr>
        <w:t>14</w:t>
      </w:r>
      <w:r w:rsidR="000B5C4B">
        <w:rPr>
          <w:lang w:val="es-MX"/>
        </w:rPr>
        <w:t>.</w:t>
      </w:r>
      <w:r w:rsidR="001836D9">
        <w:rPr>
          <w:lang w:val="es-MX"/>
        </w:rPr>
        <w:t xml:space="preserve"> OK</w:t>
      </w:r>
    </w:p>
    <w:p w14:paraId="79E6532A" w14:textId="2B01FD74" w:rsidR="009B0935" w:rsidRDefault="000B5C4B" w:rsidP="00A12982">
      <w:pPr>
        <w:jc w:val="both"/>
        <w:rPr>
          <w:lang w:val="es-MX"/>
        </w:rPr>
      </w:pPr>
      <w:r>
        <w:rPr>
          <w:lang w:val="es-MX"/>
        </w:rPr>
        <w:t>p. 15 nota al pie 4 es redundante con lo señalado en el párrafo mismo.</w:t>
      </w:r>
    </w:p>
    <w:p w14:paraId="2B2C5B86" w14:textId="0665279B" w:rsidR="000B5C4B" w:rsidRDefault="000B5C4B" w:rsidP="00A12982">
      <w:pPr>
        <w:jc w:val="both"/>
        <w:rPr>
          <w:lang w:val="es-MX"/>
        </w:rPr>
      </w:pPr>
      <w:r>
        <w:rPr>
          <w:lang w:val="es-MX"/>
        </w:rPr>
        <w:t>p. 15 revisar redacción “en el CCH”.</w:t>
      </w:r>
    </w:p>
    <w:p w14:paraId="19715F20" w14:textId="18A427DE" w:rsidR="000B5C4B" w:rsidRDefault="008B3C46" w:rsidP="00A12982">
      <w:pPr>
        <w:jc w:val="both"/>
        <w:rPr>
          <w:lang w:val="es-MX"/>
        </w:rPr>
      </w:pPr>
      <w:r>
        <w:rPr>
          <w:lang w:val="es-MX"/>
        </w:rPr>
        <w:t>p. 15 “criminalidad patrimonial” o “</w:t>
      </w:r>
      <w:r w:rsidR="0098696B">
        <w:rPr>
          <w:lang w:val="es-MX"/>
        </w:rPr>
        <w:t>crímenes contra el patrimonio”?</w:t>
      </w:r>
    </w:p>
    <w:p w14:paraId="7316B3B4" w14:textId="3C37C3D9" w:rsidR="0098696B" w:rsidRDefault="0098696B" w:rsidP="00A12982">
      <w:pPr>
        <w:jc w:val="both"/>
        <w:rPr>
          <w:lang w:val="es-MX"/>
        </w:rPr>
      </w:pPr>
      <w:r>
        <w:rPr>
          <w:lang w:val="es-MX"/>
        </w:rPr>
        <w:t>Si enviaremos a revista en español, los decimales van con “,”.</w:t>
      </w:r>
      <w:r w:rsidR="001836D9">
        <w:rPr>
          <w:lang w:val="es-MX"/>
        </w:rPr>
        <w:t xml:space="preserve"> OK</w:t>
      </w:r>
    </w:p>
    <w:p w14:paraId="538C784B" w14:textId="3B43EC76" w:rsidR="00870D2F" w:rsidRDefault="00870D2F" w:rsidP="00A12982">
      <w:pPr>
        <w:jc w:val="both"/>
        <w:rPr>
          <w:lang w:val="es-MX"/>
        </w:rPr>
      </w:pPr>
      <w:r>
        <w:rPr>
          <w:lang w:val="es-MX"/>
        </w:rPr>
        <w:t>Tabla 2: por qué se restringe a solo los robos violentos? Entiendo que la narrativa del párrafo antecedente se centra en ella, pero no sería bueno incluir todos los tipos de robo que estamos analizando?</w:t>
      </w:r>
      <w:r w:rsidR="001836D9">
        <w:rPr>
          <w:lang w:val="es-MX"/>
        </w:rPr>
        <w:t xml:space="preserve"> OK</w:t>
      </w:r>
    </w:p>
    <w:p w14:paraId="184BEB06" w14:textId="5F1222C9" w:rsidR="00870D2F" w:rsidRDefault="00901F1B" w:rsidP="00A12982">
      <w:pPr>
        <w:jc w:val="both"/>
        <w:rPr>
          <w:lang w:val="es-MX"/>
        </w:rPr>
      </w:pPr>
      <w:r>
        <w:rPr>
          <w:lang w:val="es-MX"/>
        </w:rPr>
        <w:t>Nota figura 3: líneas verticales segmentadas.</w:t>
      </w:r>
    </w:p>
    <w:p w14:paraId="437196C1" w14:textId="33FFA9CE" w:rsidR="00901F1B" w:rsidRDefault="00AA387B" w:rsidP="00A12982">
      <w:pPr>
        <w:jc w:val="both"/>
        <w:rPr>
          <w:lang w:val="es-MX"/>
        </w:rPr>
      </w:pPr>
      <w:r>
        <w:rPr>
          <w:lang w:val="es-MX"/>
        </w:rPr>
        <w:t>El mapa de Chile se ve muy comprimido ¿quizá dividirlo en dos?</w:t>
      </w:r>
    </w:p>
    <w:p w14:paraId="21FBC5F8" w14:textId="3698C38F" w:rsidR="00AA387B" w:rsidRDefault="009B41D1" w:rsidP="00A12982">
      <w:pPr>
        <w:jc w:val="both"/>
        <w:rPr>
          <w:lang w:val="es-MX"/>
        </w:rPr>
      </w:pPr>
      <w:r>
        <w:rPr>
          <w:lang w:val="es-MX"/>
        </w:rPr>
        <w:t>No es necesario justificar teóricamente (mediante citas) las verificaciones de robustez? Tipo: hacemos X porque Juanito (2020) dice que sirve para Y.</w:t>
      </w:r>
      <w:r w:rsidR="001836D9">
        <w:rPr>
          <w:lang w:val="es-MX"/>
        </w:rPr>
        <w:t xml:space="preserve"> NO ES NECESARIO</w:t>
      </w:r>
    </w:p>
    <w:p w14:paraId="66BCB54F" w14:textId="0EABB61E" w:rsidR="009B41D1" w:rsidRDefault="00C1142A" w:rsidP="00A12982">
      <w:pPr>
        <w:jc w:val="both"/>
        <w:rPr>
          <w:lang w:val="es-MX"/>
        </w:rPr>
      </w:pPr>
      <w:r>
        <w:rPr>
          <w:lang w:val="es-MX"/>
        </w:rPr>
        <w:t>En discusión (p. 33): Seyidoglu (2024) no menciona “exactamente” aquello que se le atribuye, se puede modificar en función de lo que tengo en el documento de revisión original.</w:t>
      </w:r>
      <w:r w:rsidR="00392B68">
        <w:rPr>
          <w:lang w:val="es-MX"/>
        </w:rPr>
        <w:t xml:space="preserve"> OK</w:t>
      </w:r>
    </w:p>
    <w:p w14:paraId="3579691A" w14:textId="06420ADE" w:rsidR="00C1142A" w:rsidRDefault="00FC7329" w:rsidP="00A12982">
      <w:pPr>
        <w:jc w:val="both"/>
        <w:rPr>
          <w:lang w:val="es-MX"/>
        </w:rPr>
      </w:pPr>
      <w:r>
        <w:rPr>
          <w:lang w:val="es-MX"/>
        </w:rPr>
        <w:t>p. 34 ¿por qué la cita de Greene et al. y Dammert et al. ahí?</w:t>
      </w:r>
      <w:r w:rsidR="00392B68">
        <w:rPr>
          <w:lang w:val="es-MX"/>
        </w:rPr>
        <w:t xml:space="preserve"> OK</w:t>
      </w:r>
    </w:p>
    <w:p w14:paraId="451ABA78" w14:textId="65E4A657" w:rsidR="00FC7329" w:rsidRDefault="00FE3717" w:rsidP="00A12982">
      <w:pPr>
        <w:jc w:val="both"/>
        <w:rPr>
          <w:lang w:val="es-MX"/>
        </w:rPr>
      </w:pPr>
      <w:r>
        <w:rPr>
          <w:lang w:val="es-MX"/>
        </w:rPr>
        <w:t>Revisar el apartado de investigaciones futuras.</w:t>
      </w:r>
      <w:bookmarkStart w:id="0" w:name="_GoBack"/>
      <w:bookmarkEnd w:id="0"/>
    </w:p>
    <w:p w14:paraId="192C6DEB" w14:textId="77777777" w:rsidR="00C1142A" w:rsidRDefault="00C1142A" w:rsidP="00A12982">
      <w:pPr>
        <w:jc w:val="both"/>
        <w:rPr>
          <w:lang w:val="es-MX"/>
        </w:rPr>
      </w:pPr>
    </w:p>
    <w:p w14:paraId="5B4947AD" w14:textId="77777777" w:rsidR="00870D2F" w:rsidRDefault="00870D2F" w:rsidP="00A12982">
      <w:pPr>
        <w:jc w:val="both"/>
        <w:rPr>
          <w:lang w:val="es-MX"/>
        </w:rPr>
      </w:pPr>
    </w:p>
    <w:p w14:paraId="4602A5B9" w14:textId="77777777" w:rsidR="008B3C46" w:rsidRPr="003F1F78" w:rsidRDefault="008B3C46" w:rsidP="00A12982">
      <w:pPr>
        <w:jc w:val="both"/>
        <w:rPr>
          <w:lang w:val="es-MX"/>
        </w:rPr>
      </w:pPr>
    </w:p>
    <w:sectPr w:rsidR="008B3C46" w:rsidRPr="003F1F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959"/>
    <w:rsid w:val="0001352A"/>
    <w:rsid w:val="00043934"/>
    <w:rsid w:val="00080DD8"/>
    <w:rsid w:val="00094313"/>
    <w:rsid w:val="000A39CD"/>
    <w:rsid w:val="000B5C4B"/>
    <w:rsid w:val="001836D9"/>
    <w:rsid w:val="001A29A1"/>
    <w:rsid w:val="00221CE3"/>
    <w:rsid w:val="002516B7"/>
    <w:rsid w:val="00257CF7"/>
    <w:rsid w:val="0030039C"/>
    <w:rsid w:val="00321959"/>
    <w:rsid w:val="003554C1"/>
    <w:rsid w:val="00384410"/>
    <w:rsid w:val="00392B68"/>
    <w:rsid w:val="003B0623"/>
    <w:rsid w:val="003F1F78"/>
    <w:rsid w:val="003F6FC0"/>
    <w:rsid w:val="00492FA5"/>
    <w:rsid w:val="0071126F"/>
    <w:rsid w:val="007667B3"/>
    <w:rsid w:val="00800C49"/>
    <w:rsid w:val="00870D2F"/>
    <w:rsid w:val="00882952"/>
    <w:rsid w:val="008B3C46"/>
    <w:rsid w:val="00901F1B"/>
    <w:rsid w:val="009115F9"/>
    <w:rsid w:val="009260F7"/>
    <w:rsid w:val="0098696B"/>
    <w:rsid w:val="009B0935"/>
    <w:rsid w:val="009B41D1"/>
    <w:rsid w:val="009D7E58"/>
    <w:rsid w:val="00A12982"/>
    <w:rsid w:val="00A45FFA"/>
    <w:rsid w:val="00AA387B"/>
    <w:rsid w:val="00AD0C6F"/>
    <w:rsid w:val="00AE65D8"/>
    <w:rsid w:val="00B2743A"/>
    <w:rsid w:val="00B74D91"/>
    <w:rsid w:val="00C1142A"/>
    <w:rsid w:val="00C33584"/>
    <w:rsid w:val="00C567E6"/>
    <w:rsid w:val="00CD3597"/>
    <w:rsid w:val="00D14388"/>
    <w:rsid w:val="00E43F46"/>
    <w:rsid w:val="00EC2505"/>
    <w:rsid w:val="00ED5621"/>
    <w:rsid w:val="00FA0FE5"/>
    <w:rsid w:val="00FC7329"/>
    <w:rsid w:val="00FD2AC6"/>
    <w:rsid w:val="00FE37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0967"/>
  <w15:chartTrackingRefBased/>
  <w15:docId w15:val="{6E31C425-9C13-4CCB-8FF1-FA4780A25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21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1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19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19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19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19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19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19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19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19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19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19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19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19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19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19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19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1959"/>
    <w:rPr>
      <w:rFonts w:eastAsiaTheme="majorEastAsia" w:cstheme="majorBidi"/>
      <w:color w:val="272727" w:themeColor="text1" w:themeTint="D8"/>
    </w:rPr>
  </w:style>
  <w:style w:type="paragraph" w:styleId="Ttulo">
    <w:name w:val="Title"/>
    <w:basedOn w:val="Normal"/>
    <w:next w:val="Normal"/>
    <w:link w:val="TtuloCar"/>
    <w:uiPriority w:val="10"/>
    <w:qFormat/>
    <w:rsid w:val="00321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19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19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19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1959"/>
    <w:pPr>
      <w:spacing w:before="160"/>
      <w:jc w:val="center"/>
    </w:pPr>
    <w:rPr>
      <w:i/>
      <w:iCs/>
      <w:color w:val="404040" w:themeColor="text1" w:themeTint="BF"/>
    </w:rPr>
  </w:style>
  <w:style w:type="character" w:customStyle="1" w:styleId="CitaCar">
    <w:name w:val="Cita Car"/>
    <w:basedOn w:val="Fuentedeprrafopredeter"/>
    <w:link w:val="Cita"/>
    <w:uiPriority w:val="29"/>
    <w:rsid w:val="00321959"/>
    <w:rPr>
      <w:i/>
      <w:iCs/>
      <w:color w:val="404040" w:themeColor="text1" w:themeTint="BF"/>
    </w:rPr>
  </w:style>
  <w:style w:type="paragraph" w:styleId="Prrafodelista">
    <w:name w:val="List Paragraph"/>
    <w:basedOn w:val="Normal"/>
    <w:uiPriority w:val="34"/>
    <w:qFormat/>
    <w:rsid w:val="00321959"/>
    <w:pPr>
      <w:ind w:left="720"/>
      <w:contextualSpacing/>
    </w:pPr>
  </w:style>
  <w:style w:type="character" w:styleId="nfasisintenso">
    <w:name w:val="Intense Emphasis"/>
    <w:basedOn w:val="Fuentedeprrafopredeter"/>
    <w:uiPriority w:val="21"/>
    <w:qFormat/>
    <w:rsid w:val="00321959"/>
    <w:rPr>
      <w:i/>
      <w:iCs/>
      <w:color w:val="0F4761" w:themeColor="accent1" w:themeShade="BF"/>
    </w:rPr>
  </w:style>
  <w:style w:type="paragraph" w:styleId="Citadestacada">
    <w:name w:val="Intense Quote"/>
    <w:basedOn w:val="Normal"/>
    <w:next w:val="Normal"/>
    <w:link w:val="CitadestacadaCar"/>
    <w:uiPriority w:val="30"/>
    <w:qFormat/>
    <w:rsid w:val="00321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1959"/>
    <w:rPr>
      <w:i/>
      <w:iCs/>
      <w:color w:val="0F4761" w:themeColor="accent1" w:themeShade="BF"/>
    </w:rPr>
  </w:style>
  <w:style w:type="character" w:styleId="Referenciaintensa">
    <w:name w:val="Intense Reference"/>
    <w:basedOn w:val="Fuentedeprrafopredeter"/>
    <w:uiPriority w:val="32"/>
    <w:qFormat/>
    <w:rsid w:val="00321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27D1C-FAE0-4E8C-9AB0-6D8A8897B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2</Pages>
  <Words>599</Words>
  <Characters>3299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Ariel Salvador Valdebenito Medina</cp:lastModifiedBy>
  <cp:revision>8</cp:revision>
  <dcterms:created xsi:type="dcterms:W3CDTF">2026-03-17T22:03:00Z</dcterms:created>
  <dcterms:modified xsi:type="dcterms:W3CDTF">2026-03-25T15:32:00Z</dcterms:modified>
</cp:coreProperties>
</file>