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8B96" w14:textId="26B5335D" w:rsidR="001C744D" w:rsidRPr="001C744D" w:rsidRDefault="001C744D" w:rsidP="001C744D">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1. Contribución para la Sección: Introduction (Página 1, párrafo que introduce el debate sobre la crisis de seguridad)</w:t>
      </w:r>
    </w:p>
    <w:p w14:paraId="06D2C3E6" w14:textId="77777777" w:rsidR="001C744D" w:rsidRPr="001C744D" w:rsidRDefault="001C744D" w:rsidP="001C744D">
      <w:pPr>
        <w:numPr>
          <w:ilvl w:val="0"/>
          <w:numId w:val="1"/>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Ubicación propuesta:</w:t>
      </w:r>
      <w:r w:rsidRPr="001C744D">
        <w:rPr>
          <w:rFonts w:ascii="Times New Roman" w:eastAsia="Times New Roman" w:hAnsi="Times New Roman" w:cs="Times New Roman"/>
          <w:noProof/>
          <w:kern w:val="0"/>
          <w:sz w:val="24"/>
          <w:szCs w:val="24"/>
          <w:lang w:eastAsia="es-CL"/>
          <w14:ligatures w14:val="none"/>
        </w:rPr>
        <w:t xml:space="preserve"> Tras la frase: "The citizen demand for greater security has fueled a series of legislative initiatives to toughen penalties and expand police powers..."</w:t>
      </w:r>
    </w:p>
    <w:p w14:paraId="5EB21031" w14:textId="77777777" w:rsidR="001C744D" w:rsidRPr="001C744D" w:rsidRDefault="001C744D" w:rsidP="001C744D">
      <w:pPr>
        <w:numPr>
          <w:ilvl w:val="0"/>
          <w:numId w:val="1"/>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Justificación:</w:t>
      </w:r>
      <w:r w:rsidRPr="001C744D">
        <w:rPr>
          <w:rFonts w:ascii="Times New Roman" w:eastAsia="Times New Roman" w:hAnsi="Times New Roman" w:cs="Times New Roman"/>
          <w:noProof/>
          <w:kern w:val="0"/>
          <w:sz w:val="24"/>
          <w:szCs w:val="24"/>
          <w:lang w:eastAsia="es-CL"/>
          <w14:ligatures w14:val="none"/>
        </w:rPr>
        <w:t xml:space="preserve"> Introduce un fundamento macroeconómico y de bienestar al debate sobre la crisis, conectando la percepción local con hallazgos de literatura comparada que establecen el crimen como una barrera crítica para el desarrollo, lo cual justifica la prioridad política del tema.</w:t>
      </w:r>
    </w:p>
    <w:p w14:paraId="70240622" w14:textId="77777777" w:rsidR="001C744D" w:rsidRPr="001C744D" w:rsidRDefault="001C744D" w:rsidP="001C744D">
      <w:pPr>
        <w:numPr>
          <w:ilvl w:val="0"/>
          <w:numId w:val="1"/>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Contribución redactada:</w:t>
      </w:r>
      <w:r w:rsidRPr="001C744D">
        <w:rPr>
          <w:rFonts w:ascii="Times New Roman" w:eastAsia="Times New Roman" w:hAnsi="Times New Roman" w:cs="Times New Roman"/>
          <w:noProof/>
          <w:kern w:val="0"/>
          <w:sz w:val="24"/>
          <w:szCs w:val="24"/>
          <w:lang w:eastAsia="es-CL"/>
          <w14:ligatures w14:val="none"/>
        </w:rPr>
        <w:t xml:space="preserve"> The intensity of this public concern finds a macro-level correlate in regional analyses, which identify high crime rates not merely as a law-and-order issue, but as a significant welfare loss and a profound obstacle to economic development (Soares and Naritomi, 2010). This framing elevates citizen security from a localised policy challenge to a "macro-critical" barrier affecting human capital, productivity, and long-term investment horizons (Bisca et al., 2024).</w:t>
      </w:r>
    </w:p>
    <w:p w14:paraId="310C3A7E" w14:textId="77777777" w:rsidR="001C744D" w:rsidRPr="001C744D" w:rsidRDefault="001C744D" w:rsidP="001C744D">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2. Contribución para la Sección: 2. Opportunity, Coercion, and the Composition of Property Crime (Página 4, párrafo que desarrolla el modelo económico de Becker)</w:t>
      </w:r>
    </w:p>
    <w:p w14:paraId="3D2CBC3B" w14:textId="77777777" w:rsidR="001C744D" w:rsidRPr="001C744D" w:rsidRDefault="001C744D" w:rsidP="001C744D">
      <w:pPr>
        <w:numPr>
          <w:ilvl w:val="0"/>
          <w:numId w:val="2"/>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Ubicación propuesta:</w:t>
      </w:r>
      <w:r w:rsidRPr="001C744D">
        <w:rPr>
          <w:rFonts w:ascii="Times New Roman" w:eastAsia="Times New Roman" w:hAnsi="Times New Roman" w:cs="Times New Roman"/>
          <w:noProof/>
          <w:kern w:val="0"/>
          <w:sz w:val="24"/>
          <w:szCs w:val="24"/>
          <w:lang w:eastAsia="es-CL"/>
          <w14:ligatures w14:val="none"/>
        </w:rPr>
        <w:t xml:space="preserve"> En el párrafo que inicia: "From an economic and deterrence perspective, Becker (1968)’s rational model..." Se puede integrar tras la mención a la desigualdad.</w:t>
      </w:r>
    </w:p>
    <w:p w14:paraId="783DEFB5" w14:textId="77777777" w:rsidR="001C744D" w:rsidRPr="001C744D" w:rsidRDefault="001C744D" w:rsidP="001C744D">
      <w:pPr>
        <w:numPr>
          <w:ilvl w:val="0"/>
          <w:numId w:val="2"/>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Justificación:</w:t>
      </w:r>
      <w:r w:rsidRPr="001C744D">
        <w:rPr>
          <w:rFonts w:ascii="Times New Roman" w:eastAsia="Times New Roman" w:hAnsi="Times New Roman" w:cs="Times New Roman"/>
          <w:noProof/>
          <w:kern w:val="0"/>
          <w:sz w:val="24"/>
          <w:szCs w:val="24"/>
          <w:lang w:eastAsia="es-CL"/>
          <w14:ligatures w14:val="none"/>
        </w:rPr>
        <w:t xml:space="preserve"> Robustace el argumento sobre la desigualdad como impulsor del crimen, proporcionando evidencia empírica específica para América Latina y vinculando el mecanismo (retornos esperados) con resultados de políticas (encarcelamiento, tamaño policial).</w:t>
      </w:r>
    </w:p>
    <w:p w14:paraId="7B21EF82" w14:textId="77777777" w:rsidR="001C744D" w:rsidRPr="001C744D" w:rsidRDefault="001C744D" w:rsidP="001C744D">
      <w:pPr>
        <w:numPr>
          <w:ilvl w:val="0"/>
          <w:numId w:val="2"/>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Contribución redactada:</w:t>
      </w:r>
      <w:r w:rsidRPr="001C744D">
        <w:rPr>
          <w:rFonts w:ascii="Times New Roman" w:eastAsia="Times New Roman" w:hAnsi="Times New Roman" w:cs="Times New Roman"/>
          <w:noProof/>
          <w:kern w:val="0"/>
          <w:sz w:val="24"/>
          <w:szCs w:val="24"/>
          <w:lang w:eastAsia="es-CL"/>
          <w14:ligatures w14:val="none"/>
        </w:rPr>
        <w:t xml:space="preserve"> Empirical support for this channel in Latin America suggests that high income inequality significantly magnifies the expected returns from illicit activity relative to legal opportunities. Counterfactual exercises indicate that a substantial portion of the region’s violence gap can be attributed precisely to high inequality, coupled with low incarceration rates and reduced police forces, highlighting the joint role of socio-economic and public policy factors in shaping criminal incentives (Soares and Naritomi, 2010).</w:t>
      </w:r>
    </w:p>
    <w:p w14:paraId="5FEE38B3" w14:textId="77777777" w:rsidR="001C744D" w:rsidRPr="001C744D" w:rsidRDefault="001C744D" w:rsidP="001C744D">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3. Contribución para la Sección: 2. Opportunity, Coercion, and the Composition of Property Crime (Página 5, párrafo que discute cambios post-pandemia)</w:t>
      </w:r>
    </w:p>
    <w:p w14:paraId="51020936" w14:textId="77777777" w:rsidR="001C744D" w:rsidRPr="001C744D" w:rsidRDefault="001C744D" w:rsidP="001C744D">
      <w:pPr>
        <w:numPr>
          <w:ilvl w:val="0"/>
          <w:numId w:val="3"/>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Ubicación propuesta:</w:t>
      </w:r>
      <w:r w:rsidRPr="001C744D">
        <w:rPr>
          <w:rFonts w:ascii="Times New Roman" w:eastAsia="Times New Roman" w:hAnsi="Times New Roman" w:cs="Times New Roman"/>
          <w:noProof/>
          <w:kern w:val="0"/>
          <w:sz w:val="24"/>
          <w:szCs w:val="24"/>
          <w:lang w:eastAsia="es-CL"/>
          <w14:ligatures w14:val="none"/>
        </w:rPr>
        <w:t xml:space="preserve"> Tras la frase: "Post-pandemic structural changes also reinforced the asymmetric contraction."</w:t>
      </w:r>
    </w:p>
    <w:p w14:paraId="562842D1" w14:textId="77777777" w:rsidR="001C744D" w:rsidRPr="001C744D" w:rsidRDefault="001C744D" w:rsidP="001C744D">
      <w:pPr>
        <w:numPr>
          <w:ilvl w:val="0"/>
          <w:numId w:val="3"/>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Justificación:</w:t>
      </w:r>
      <w:r w:rsidRPr="001C744D">
        <w:rPr>
          <w:rFonts w:ascii="Times New Roman" w:eastAsia="Times New Roman" w:hAnsi="Times New Roman" w:cs="Times New Roman"/>
          <w:noProof/>
          <w:kern w:val="0"/>
          <w:sz w:val="24"/>
          <w:szCs w:val="24"/>
          <w:lang w:eastAsia="es-CL"/>
          <w14:ligatures w14:val="none"/>
        </w:rPr>
        <w:t xml:space="preserve"> Fortalece el argumento sobre cómo cambios tecnológicos en la seguridad alteran oportunidades delictivas, proporcionando un mecanismo concreto (tecnología vehicular) documentado en la literatura internacional que explica la caída de delitos oportunistas, lo que respalda la tesis de la contracción asimétrica.</w:t>
      </w:r>
    </w:p>
    <w:p w14:paraId="619842D6" w14:textId="6A1AF1A5" w:rsidR="001C744D" w:rsidRPr="001C744D" w:rsidRDefault="001C744D" w:rsidP="001C744D">
      <w:pPr>
        <w:numPr>
          <w:ilvl w:val="0"/>
          <w:numId w:val="3"/>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Contribución redactada:</w:t>
      </w:r>
      <w:r w:rsidRPr="001C744D">
        <w:rPr>
          <w:rFonts w:ascii="Times New Roman" w:eastAsia="Times New Roman" w:hAnsi="Times New Roman" w:cs="Times New Roman"/>
          <w:noProof/>
          <w:kern w:val="0"/>
          <w:sz w:val="24"/>
          <w:szCs w:val="24"/>
          <w:lang w:eastAsia="es-CL"/>
          <w14:ligatures w14:val="none"/>
        </w:rPr>
        <w:t xml:space="preserve"> This persistent shift away from opportunistic crime aligns with evidence from industrialized countries, where the mass adoption of preventive technology—such as electronic immobilizers and central locking in vehicles—made </w:t>
      </w:r>
      <w:r w:rsidRPr="001C744D">
        <w:rPr>
          <w:rFonts w:ascii="Times New Roman" w:eastAsia="Times New Roman" w:hAnsi="Times New Roman" w:cs="Times New Roman"/>
          <w:noProof/>
          <w:kern w:val="0"/>
          <w:sz w:val="24"/>
          <w:szCs w:val="24"/>
          <w:lang w:eastAsia="es-CL"/>
          <w14:ligatures w14:val="none"/>
        </w:rPr>
        <w:lastRenderedPageBreak/>
        <w:t xml:space="preserve">certain property crimes significantly more difficult, risky, and less rewarding, acting as a key driver in crime declines independent of demographic or economic cycles (Farrell et al., 2011). This </w:t>
      </w:r>
      <w:r w:rsidR="00910C2A">
        <w:rPr>
          <w:rFonts w:ascii="Times New Roman" w:eastAsia="Times New Roman" w:hAnsi="Times New Roman" w:cs="Times New Roman"/>
          <w:noProof/>
          <w:kern w:val="0"/>
          <w:sz w:val="24"/>
          <w:szCs w:val="24"/>
          <w:lang w:eastAsia="es-CL"/>
          <w14:ligatures w14:val="none"/>
        </w:rPr>
        <w:t>accentuates</w:t>
      </w:r>
      <w:r w:rsidRPr="001C744D">
        <w:rPr>
          <w:rFonts w:ascii="Times New Roman" w:eastAsia="Times New Roman" w:hAnsi="Times New Roman" w:cs="Times New Roman"/>
          <w:noProof/>
          <w:kern w:val="0"/>
          <w:sz w:val="24"/>
          <w:szCs w:val="24"/>
          <w:lang w:eastAsia="es-CL"/>
          <w14:ligatures w14:val="none"/>
        </w:rPr>
        <w:t xml:space="preserve"> how technological advancements can durably alter the opportunity structure for contactless theft.</w:t>
      </w:r>
    </w:p>
    <w:p w14:paraId="2948EFB3" w14:textId="77777777" w:rsidR="001C744D" w:rsidRPr="001C744D" w:rsidRDefault="001C744D" w:rsidP="001C744D">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4. Contribución para la Sección: 6. Discussion (Página 25, al discutir la heterogeneidad territorial y los hallazgos del modelo)</w:t>
      </w:r>
    </w:p>
    <w:p w14:paraId="6E206557" w14:textId="77777777" w:rsidR="001C744D" w:rsidRPr="001C744D" w:rsidRDefault="001C744D" w:rsidP="001C744D">
      <w:pPr>
        <w:numPr>
          <w:ilvl w:val="0"/>
          <w:numId w:val="4"/>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Ubicación propuesta:</w:t>
      </w:r>
      <w:r w:rsidRPr="001C744D">
        <w:rPr>
          <w:rFonts w:ascii="Times New Roman" w:eastAsia="Times New Roman" w:hAnsi="Times New Roman" w:cs="Times New Roman"/>
          <w:noProof/>
          <w:kern w:val="0"/>
          <w:sz w:val="24"/>
          <w:szCs w:val="24"/>
          <w:lang w:eastAsia="es-CL"/>
          <w14:ligatures w14:val="none"/>
        </w:rPr>
        <w:t xml:space="preserve"> En el párrafo que comienza: "The territorial dimension reveals that beneath the national aggregate operate qualitatively distinct local dynamics."</w:t>
      </w:r>
    </w:p>
    <w:p w14:paraId="6BDCA719" w14:textId="77777777" w:rsidR="001C744D" w:rsidRPr="001C744D" w:rsidRDefault="001C744D" w:rsidP="001C744D">
      <w:pPr>
        <w:numPr>
          <w:ilvl w:val="0"/>
          <w:numId w:val="4"/>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Justificación:</w:t>
      </w:r>
      <w:r w:rsidRPr="001C744D">
        <w:rPr>
          <w:rFonts w:ascii="Times New Roman" w:eastAsia="Times New Roman" w:hAnsi="Times New Roman" w:cs="Times New Roman"/>
          <w:noProof/>
          <w:kern w:val="0"/>
          <w:sz w:val="24"/>
          <w:szCs w:val="24"/>
          <w:lang w:eastAsia="es-CL"/>
          <w14:ligatures w14:val="none"/>
        </w:rPr>
        <w:t xml:space="preserve"> Apoya directamente el hallazgo de heterogeneidad regional del artículo con evidencia teórica y empírica que demuestra que el impacto de políticas o choques (como el confinamiento) en el crimen no es uniforme, sino que está moderado por contextos comunitarios específicos, validando la necesidad de un análisis desagregado.</w:t>
      </w:r>
    </w:p>
    <w:p w14:paraId="0B036AE3" w14:textId="77777777" w:rsidR="001C744D" w:rsidRPr="001C744D" w:rsidRDefault="001C744D" w:rsidP="001C744D">
      <w:pPr>
        <w:numPr>
          <w:ilvl w:val="0"/>
          <w:numId w:val="4"/>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Contribución redactada:</w:t>
      </w:r>
      <w:r w:rsidRPr="001C744D">
        <w:rPr>
          <w:rFonts w:ascii="Times New Roman" w:eastAsia="Times New Roman" w:hAnsi="Times New Roman" w:cs="Times New Roman"/>
          <w:noProof/>
          <w:kern w:val="0"/>
          <w:sz w:val="24"/>
          <w:szCs w:val="24"/>
          <w:lang w:eastAsia="es-CL"/>
          <w14:ligatures w14:val="none"/>
        </w:rPr>
        <w:t xml:space="preserve"> This observed heterogeneity resonates with theoretical expectations and empirical findings emphasizing the spatial concentration of crime. Studies demonstrate that the impact of broad interventions, such as pandemic containment policies, on crime trends is not uniform but is fundamentally moderated by local community contexts—including existing crime rates, socio-economic conditions, and demographic profiles—reinforcing the conclusion that aggregate city-level analysis can obscure complex local dynamics (Campedelli et al., 2020).</w:t>
      </w:r>
    </w:p>
    <w:p w14:paraId="1D28433C" w14:textId="77777777" w:rsidR="001C744D" w:rsidRPr="001C744D" w:rsidRDefault="001C744D" w:rsidP="001C744D">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5. Contribución para la Sección: 6. Discussion (Página 26, al discutir el gradiente de severidad y sus implicaciones)</w:t>
      </w:r>
    </w:p>
    <w:p w14:paraId="2CA81430" w14:textId="77777777" w:rsidR="001C744D" w:rsidRPr="001C744D" w:rsidRDefault="001C744D" w:rsidP="001C744D">
      <w:pPr>
        <w:numPr>
          <w:ilvl w:val="0"/>
          <w:numId w:val="5"/>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Ubicación propuesta:</w:t>
      </w:r>
      <w:r w:rsidRPr="001C744D">
        <w:rPr>
          <w:rFonts w:ascii="Times New Roman" w:eastAsia="Times New Roman" w:hAnsi="Times New Roman" w:cs="Times New Roman"/>
          <w:noProof/>
          <w:kern w:val="0"/>
          <w:sz w:val="24"/>
          <w:szCs w:val="24"/>
          <w:lang w:eastAsia="es-CL"/>
          <w14:ligatures w14:val="none"/>
        </w:rPr>
        <w:t xml:space="preserve"> Tras la presentación del gradiente en la Tabla 9 y la oración: "The seven-point monotonic gradient is interpretable as the aggregate empirical signature of these micro-level asymmetries..."</w:t>
      </w:r>
    </w:p>
    <w:p w14:paraId="471B428A" w14:textId="77777777" w:rsidR="001C744D" w:rsidRPr="001C744D" w:rsidRDefault="001C744D" w:rsidP="001C744D">
      <w:pPr>
        <w:numPr>
          <w:ilvl w:val="0"/>
          <w:numId w:val="5"/>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Justificación:</w:t>
      </w:r>
      <w:r w:rsidRPr="001C744D">
        <w:rPr>
          <w:rFonts w:ascii="Times New Roman" w:eastAsia="Times New Roman" w:hAnsi="Times New Roman" w:cs="Times New Roman"/>
          <w:noProof/>
          <w:kern w:val="0"/>
          <w:sz w:val="24"/>
          <w:szCs w:val="24"/>
          <w:lang w:eastAsia="es-CL"/>
          <w14:ligatures w14:val="none"/>
        </w:rPr>
        <w:t xml:space="preserve"> Introduce un hallazgo empírico relevante sobre la persistencia criminal que refuerza la interpretación del gradiente. La idea de que la criminalidad pasada predice la presente ofrece un soporte adicional para entender por qué ciertos patrones o áreas muestran mayor resistencia a la disminución, vinculando con la discusión sobre inercia y composición.</w:t>
      </w:r>
    </w:p>
    <w:p w14:paraId="5F3DA865" w14:textId="5D3A89FC" w:rsidR="00221CE3" w:rsidRDefault="001C744D" w:rsidP="001C744D">
      <w:pPr>
        <w:numPr>
          <w:ilvl w:val="0"/>
          <w:numId w:val="5"/>
        </w:num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1C744D">
        <w:rPr>
          <w:rFonts w:ascii="Times New Roman" w:eastAsia="Times New Roman" w:hAnsi="Times New Roman" w:cs="Times New Roman"/>
          <w:b/>
          <w:bCs/>
          <w:noProof/>
          <w:kern w:val="0"/>
          <w:sz w:val="24"/>
          <w:szCs w:val="24"/>
          <w:lang w:eastAsia="es-CL"/>
          <w14:ligatures w14:val="none"/>
        </w:rPr>
        <w:t>Contribución redactada:</w:t>
      </w:r>
      <w:r w:rsidRPr="001C744D">
        <w:rPr>
          <w:rFonts w:ascii="Times New Roman" w:eastAsia="Times New Roman" w:hAnsi="Times New Roman" w:cs="Times New Roman"/>
          <w:noProof/>
          <w:kern w:val="0"/>
          <w:sz w:val="24"/>
          <w:szCs w:val="24"/>
          <w:lang w:eastAsia="es-CL"/>
          <w14:ligatures w14:val="none"/>
        </w:rPr>
        <w:t xml:space="preserve"> Furthermore, the persistence embedded in certain crime types or geographic areas is consistent with empirical panel studies, which identify past criminality as one of the strongest predictors of current crime rates, suggesting a phenomenon of criminal inertia or path dependence that may reinforce the resilience of higher-severity offenses within the overall composition (Buonanno and Montolio, 2008).</w:t>
      </w:r>
    </w:p>
    <w:p w14:paraId="24A196B4" w14:textId="51012A42" w:rsidR="00910C2A" w:rsidRDefault="00910C2A" w:rsidP="00910C2A">
      <w:pPr>
        <w:spacing w:before="100" w:beforeAutospacing="1" w:after="100" w:afterAutospacing="1" w:line="240" w:lineRule="auto"/>
        <w:jc w:val="both"/>
        <w:rPr>
          <w:rFonts w:ascii="Times New Roman" w:eastAsia="Times New Roman" w:hAnsi="Times New Roman" w:cs="Times New Roman"/>
          <w:b/>
          <w:bCs/>
          <w:sz w:val="24"/>
          <w:szCs w:val="24"/>
          <w:lang w:eastAsia="es-CL"/>
        </w:rPr>
      </w:pPr>
      <w:r w:rsidRPr="00910C2A">
        <w:rPr>
          <w:rFonts w:ascii="Times New Roman" w:eastAsia="Times New Roman" w:hAnsi="Times New Roman" w:cs="Times New Roman"/>
          <w:b/>
          <w:bCs/>
          <w:sz w:val="24"/>
          <w:szCs w:val="24"/>
          <w:lang w:eastAsia="es-CL"/>
        </w:rPr>
        <w:t>Referencias</w:t>
      </w:r>
    </w:p>
    <w:p w14:paraId="635E8C44" w14:textId="45D07694" w:rsidR="00910C2A" w:rsidRDefault="00910C2A" w:rsidP="00910C2A">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910C2A">
        <w:rPr>
          <w:rFonts w:ascii="Times New Roman" w:eastAsia="Times New Roman" w:hAnsi="Times New Roman" w:cs="Times New Roman"/>
          <w:noProof/>
          <w:kern w:val="0"/>
          <w:sz w:val="24"/>
          <w:szCs w:val="24"/>
          <w:lang w:eastAsia="es-CL"/>
          <w14:ligatures w14:val="none"/>
        </w:rPr>
        <w:t xml:space="preserve">Bisca, P., Chau, V., Dudine, P., Espinoza, R. A., Fournier, J. M., Guerin, P., </w:t>
      </w:r>
      <w:r>
        <w:rPr>
          <w:rFonts w:ascii="Times New Roman" w:eastAsia="Times New Roman" w:hAnsi="Times New Roman" w:cs="Times New Roman"/>
          <w:noProof/>
          <w:kern w:val="0"/>
          <w:sz w:val="24"/>
          <w:szCs w:val="24"/>
          <w:lang w:eastAsia="es-CL"/>
          <w14:ligatures w14:val="none"/>
        </w:rPr>
        <w:t xml:space="preserve">Hansen, N. J. H., </w:t>
      </w:r>
      <w:r w:rsidRPr="00910C2A">
        <w:rPr>
          <w:rFonts w:ascii="Times New Roman" w:eastAsia="Times New Roman" w:hAnsi="Times New Roman" w:cs="Times New Roman"/>
          <w:noProof/>
          <w:kern w:val="0"/>
          <w:sz w:val="24"/>
          <w:szCs w:val="24"/>
          <w:lang w:eastAsia="es-CL"/>
          <w14:ligatures w14:val="none"/>
        </w:rPr>
        <w:t xml:space="preserve">&amp; Salas, J. (2024). Violent Crime and Insecurity in Latin America and the Caribbean. </w:t>
      </w:r>
      <w:r w:rsidRPr="00910C2A">
        <w:rPr>
          <w:rFonts w:ascii="Times New Roman" w:eastAsia="Times New Roman" w:hAnsi="Times New Roman" w:cs="Times New Roman"/>
          <w:i/>
          <w:iCs/>
          <w:noProof/>
          <w:kern w:val="0"/>
          <w:sz w:val="24"/>
          <w:szCs w:val="24"/>
          <w:lang w:eastAsia="es-CL"/>
          <w14:ligatures w14:val="none"/>
        </w:rPr>
        <w:t>Departmental Papers</w:t>
      </w:r>
      <w:r w:rsidRPr="00910C2A">
        <w:rPr>
          <w:rFonts w:ascii="Times New Roman" w:eastAsia="Times New Roman" w:hAnsi="Times New Roman" w:cs="Times New Roman"/>
          <w:noProof/>
          <w:kern w:val="0"/>
          <w:sz w:val="24"/>
          <w:szCs w:val="24"/>
          <w:lang w:eastAsia="es-CL"/>
          <w14:ligatures w14:val="none"/>
        </w:rPr>
        <w:t xml:space="preserve">, </w:t>
      </w:r>
      <w:r w:rsidRPr="00910C2A">
        <w:rPr>
          <w:rFonts w:ascii="Times New Roman" w:eastAsia="Times New Roman" w:hAnsi="Times New Roman" w:cs="Times New Roman"/>
          <w:i/>
          <w:iCs/>
          <w:noProof/>
          <w:kern w:val="0"/>
          <w:sz w:val="24"/>
          <w:szCs w:val="24"/>
          <w:lang w:eastAsia="es-CL"/>
          <w14:ligatures w14:val="none"/>
        </w:rPr>
        <w:t>9</w:t>
      </w:r>
      <w:r w:rsidRPr="00910C2A">
        <w:rPr>
          <w:rFonts w:ascii="Times New Roman" w:eastAsia="Times New Roman" w:hAnsi="Times New Roman" w:cs="Times New Roman"/>
          <w:noProof/>
          <w:kern w:val="0"/>
          <w:sz w:val="24"/>
          <w:szCs w:val="24"/>
          <w:lang w:eastAsia="es-CL"/>
          <w14:ligatures w14:val="none"/>
        </w:rPr>
        <w:t>, 1.</w:t>
      </w:r>
      <w:r>
        <w:rPr>
          <w:rFonts w:ascii="Times New Roman" w:eastAsia="Times New Roman" w:hAnsi="Times New Roman" w:cs="Times New Roman"/>
          <w:noProof/>
          <w:kern w:val="0"/>
          <w:sz w:val="24"/>
          <w:szCs w:val="24"/>
          <w:lang w:eastAsia="es-CL"/>
          <w14:ligatures w14:val="none"/>
        </w:rPr>
        <w:t xml:space="preserve"> </w:t>
      </w:r>
      <w:hyperlink r:id="rId5" w:history="1">
        <w:r w:rsidRPr="003C0124">
          <w:rPr>
            <w:rStyle w:val="Hipervnculo"/>
            <w:rFonts w:ascii="Times New Roman" w:eastAsia="Times New Roman" w:hAnsi="Times New Roman" w:cs="Times New Roman"/>
            <w:noProof/>
            <w:kern w:val="0"/>
            <w:sz w:val="24"/>
            <w:szCs w:val="24"/>
            <w:lang w:eastAsia="es-CL"/>
            <w14:ligatures w14:val="none"/>
          </w:rPr>
          <w:t>h</w:t>
        </w:r>
        <w:r w:rsidRPr="003C0124">
          <w:rPr>
            <w:rStyle w:val="Hipervnculo"/>
            <w:rFonts w:ascii="Times New Roman" w:eastAsia="Times New Roman" w:hAnsi="Times New Roman" w:cs="Times New Roman"/>
            <w:noProof/>
            <w:kern w:val="0"/>
            <w:sz w:val="24"/>
            <w:szCs w:val="24"/>
            <w:lang w:eastAsia="es-CL"/>
            <w14:ligatures w14:val="none"/>
          </w:rPr>
          <w:t>t</w:t>
        </w:r>
        <w:r w:rsidRPr="003C0124">
          <w:rPr>
            <w:rStyle w:val="Hipervnculo"/>
            <w:rFonts w:ascii="Times New Roman" w:eastAsia="Times New Roman" w:hAnsi="Times New Roman" w:cs="Times New Roman"/>
            <w:noProof/>
            <w:kern w:val="0"/>
            <w:sz w:val="24"/>
            <w:szCs w:val="24"/>
            <w:lang w:eastAsia="es-CL"/>
            <w14:ligatures w14:val="none"/>
          </w:rPr>
          <w:t>tps://doi.org/10.5089/9798400288470.087</w:t>
        </w:r>
      </w:hyperlink>
    </w:p>
    <w:p w14:paraId="2E6580E8" w14:textId="77777777" w:rsidR="00910C2A" w:rsidRDefault="00910C2A" w:rsidP="00910C2A">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p>
    <w:p w14:paraId="77976C98" w14:textId="5CB1DC83" w:rsidR="00910C2A" w:rsidRDefault="00910C2A" w:rsidP="00910C2A">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910C2A">
        <w:rPr>
          <w:rFonts w:ascii="Times New Roman" w:eastAsia="Times New Roman" w:hAnsi="Times New Roman" w:cs="Times New Roman"/>
          <w:noProof/>
          <w:kern w:val="0"/>
          <w:sz w:val="24"/>
          <w:szCs w:val="24"/>
          <w:lang w:eastAsia="es-CL"/>
          <w14:ligatures w14:val="none"/>
        </w:rPr>
        <w:t xml:space="preserve">Buonanno, P., &amp; Montolio, D. (2008). Identifying the socio-economic and demographic determinants of crime across Spanish provinces. </w:t>
      </w:r>
      <w:r w:rsidRPr="00910C2A">
        <w:rPr>
          <w:rFonts w:ascii="Times New Roman" w:eastAsia="Times New Roman" w:hAnsi="Times New Roman" w:cs="Times New Roman"/>
          <w:i/>
          <w:iCs/>
          <w:noProof/>
          <w:kern w:val="0"/>
          <w:sz w:val="24"/>
          <w:szCs w:val="24"/>
          <w:lang w:eastAsia="es-CL"/>
          <w14:ligatures w14:val="none"/>
        </w:rPr>
        <w:t>International Review of law and Economics</w:t>
      </w:r>
      <w:r w:rsidRPr="00910C2A">
        <w:rPr>
          <w:rFonts w:ascii="Times New Roman" w:eastAsia="Times New Roman" w:hAnsi="Times New Roman" w:cs="Times New Roman"/>
          <w:noProof/>
          <w:kern w:val="0"/>
          <w:sz w:val="24"/>
          <w:szCs w:val="24"/>
          <w:lang w:eastAsia="es-CL"/>
          <w14:ligatures w14:val="none"/>
        </w:rPr>
        <w:t xml:space="preserve">, </w:t>
      </w:r>
      <w:r w:rsidRPr="00910C2A">
        <w:rPr>
          <w:rFonts w:ascii="Times New Roman" w:eastAsia="Times New Roman" w:hAnsi="Times New Roman" w:cs="Times New Roman"/>
          <w:i/>
          <w:iCs/>
          <w:noProof/>
          <w:kern w:val="0"/>
          <w:sz w:val="24"/>
          <w:szCs w:val="24"/>
          <w:lang w:eastAsia="es-CL"/>
          <w14:ligatures w14:val="none"/>
        </w:rPr>
        <w:t>28</w:t>
      </w:r>
      <w:r w:rsidRPr="00910C2A">
        <w:rPr>
          <w:rFonts w:ascii="Times New Roman" w:eastAsia="Times New Roman" w:hAnsi="Times New Roman" w:cs="Times New Roman"/>
          <w:noProof/>
          <w:kern w:val="0"/>
          <w:sz w:val="24"/>
          <w:szCs w:val="24"/>
          <w:lang w:eastAsia="es-CL"/>
          <w14:ligatures w14:val="none"/>
        </w:rPr>
        <w:t>(2), 89-97.</w:t>
      </w:r>
      <w:r>
        <w:rPr>
          <w:rFonts w:ascii="Times New Roman" w:eastAsia="Times New Roman" w:hAnsi="Times New Roman" w:cs="Times New Roman"/>
          <w:noProof/>
          <w:kern w:val="0"/>
          <w:sz w:val="24"/>
          <w:szCs w:val="24"/>
          <w:lang w:eastAsia="es-CL"/>
          <w14:ligatures w14:val="none"/>
        </w:rPr>
        <w:t xml:space="preserve"> </w:t>
      </w:r>
      <w:hyperlink r:id="rId6" w:history="1">
        <w:r w:rsidRPr="003C0124">
          <w:rPr>
            <w:rStyle w:val="Hipervnculo"/>
            <w:rFonts w:ascii="Times New Roman" w:eastAsia="Times New Roman" w:hAnsi="Times New Roman" w:cs="Times New Roman"/>
            <w:noProof/>
            <w:kern w:val="0"/>
            <w:sz w:val="24"/>
            <w:szCs w:val="24"/>
            <w:lang w:eastAsia="es-CL"/>
            <w14:ligatures w14:val="none"/>
          </w:rPr>
          <w:t>https://doi.org/10.1016/j.irle.2008.02.005</w:t>
        </w:r>
      </w:hyperlink>
    </w:p>
    <w:p w14:paraId="4B2DF7B6" w14:textId="271DC2FC" w:rsidR="00910C2A" w:rsidRDefault="00910C2A" w:rsidP="00910C2A">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910C2A">
        <w:rPr>
          <w:rFonts w:ascii="Times New Roman" w:eastAsia="Times New Roman" w:hAnsi="Times New Roman" w:cs="Times New Roman"/>
          <w:noProof/>
          <w:kern w:val="0"/>
          <w:sz w:val="24"/>
          <w:szCs w:val="24"/>
          <w:lang w:eastAsia="es-CL"/>
          <w14:ligatures w14:val="none"/>
        </w:rPr>
        <w:t xml:space="preserve">Campedelli, G. M., Favarin, S., Aziani, A., &amp; Piquero, A. R. (2020). Disentangling community-level changes in crime trends during the COVID-19 pandemic in Chicago. </w:t>
      </w:r>
      <w:r w:rsidRPr="00910C2A">
        <w:rPr>
          <w:rFonts w:ascii="Times New Roman" w:eastAsia="Times New Roman" w:hAnsi="Times New Roman" w:cs="Times New Roman"/>
          <w:i/>
          <w:iCs/>
          <w:noProof/>
          <w:kern w:val="0"/>
          <w:sz w:val="24"/>
          <w:szCs w:val="24"/>
          <w:lang w:eastAsia="es-CL"/>
          <w14:ligatures w14:val="none"/>
        </w:rPr>
        <w:t>Crime Science</w:t>
      </w:r>
      <w:r w:rsidRPr="00910C2A">
        <w:rPr>
          <w:rFonts w:ascii="Times New Roman" w:eastAsia="Times New Roman" w:hAnsi="Times New Roman" w:cs="Times New Roman"/>
          <w:noProof/>
          <w:kern w:val="0"/>
          <w:sz w:val="24"/>
          <w:szCs w:val="24"/>
          <w:lang w:eastAsia="es-CL"/>
          <w14:ligatures w14:val="none"/>
        </w:rPr>
        <w:t xml:space="preserve">, </w:t>
      </w:r>
      <w:r w:rsidRPr="00910C2A">
        <w:rPr>
          <w:rFonts w:ascii="Times New Roman" w:eastAsia="Times New Roman" w:hAnsi="Times New Roman" w:cs="Times New Roman"/>
          <w:i/>
          <w:iCs/>
          <w:noProof/>
          <w:kern w:val="0"/>
          <w:sz w:val="24"/>
          <w:szCs w:val="24"/>
          <w:lang w:eastAsia="es-CL"/>
          <w14:ligatures w14:val="none"/>
        </w:rPr>
        <w:t>9</w:t>
      </w:r>
      <w:r w:rsidRPr="00910C2A">
        <w:rPr>
          <w:rFonts w:ascii="Times New Roman" w:eastAsia="Times New Roman" w:hAnsi="Times New Roman" w:cs="Times New Roman"/>
          <w:noProof/>
          <w:kern w:val="0"/>
          <w:sz w:val="24"/>
          <w:szCs w:val="24"/>
          <w:lang w:eastAsia="es-CL"/>
          <w14:ligatures w14:val="none"/>
        </w:rPr>
        <w:t>(1), 21</w:t>
      </w:r>
      <w:r>
        <w:rPr>
          <w:rFonts w:ascii="Times New Roman" w:eastAsia="Times New Roman" w:hAnsi="Times New Roman" w:cs="Times New Roman"/>
          <w:noProof/>
          <w:kern w:val="0"/>
          <w:sz w:val="24"/>
          <w:szCs w:val="24"/>
          <w:lang w:eastAsia="es-CL"/>
          <w14:ligatures w14:val="none"/>
        </w:rPr>
        <w:t xml:space="preserve">. </w:t>
      </w:r>
      <w:hyperlink r:id="rId7" w:history="1">
        <w:r w:rsidRPr="003C0124">
          <w:rPr>
            <w:rStyle w:val="Hipervnculo"/>
            <w:rFonts w:ascii="Times New Roman" w:eastAsia="Times New Roman" w:hAnsi="Times New Roman" w:cs="Times New Roman"/>
            <w:noProof/>
            <w:kern w:val="0"/>
            <w:sz w:val="24"/>
            <w:szCs w:val="24"/>
            <w:lang w:eastAsia="es-CL"/>
            <w14:ligatures w14:val="none"/>
          </w:rPr>
          <w:t>https://doi.org/10.1186/s40163-020-00131-8</w:t>
        </w:r>
      </w:hyperlink>
    </w:p>
    <w:p w14:paraId="55D57DA3" w14:textId="2FC2CD69" w:rsidR="00910C2A" w:rsidRDefault="00910C2A" w:rsidP="00910C2A">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910C2A">
        <w:rPr>
          <w:rFonts w:ascii="Times New Roman" w:eastAsia="Times New Roman" w:hAnsi="Times New Roman" w:cs="Times New Roman"/>
          <w:noProof/>
          <w:kern w:val="0"/>
          <w:sz w:val="24"/>
          <w:szCs w:val="24"/>
          <w:lang w:eastAsia="es-CL"/>
          <w14:ligatures w14:val="none"/>
        </w:rPr>
        <w:t xml:space="preserve">Farrell, G., Tseloni, A., Mailley, J., &amp; Tilley, N. (2011). The crime drop and the security hypothesis. </w:t>
      </w:r>
      <w:r w:rsidRPr="00910C2A">
        <w:rPr>
          <w:rFonts w:ascii="Times New Roman" w:eastAsia="Times New Roman" w:hAnsi="Times New Roman" w:cs="Times New Roman"/>
          <w:i/>
          <w:iCs/>
          <w:noProof/>
          <w:kern w:val="0"/>
          <w:sz w:val="24"/>
          <w:szCs w:val="24"/>
          <w:lang w:eastAsia="es-CL"/>
          <w14:ligatures w14:val="none"/>
        </w:rPr>
        <w:t>Journal of Research in Crime and Delinquency</w:t>
      </w:r>
      <w:r w:rsidRPr="00910C2A">
        <w:rPr>
          <w:rFonts w:ascii="Times New Roman" w:eastAsia="Times New Roman" w:hAnsi="Times New Roman" w:cs="Times New Roman"/>
          <w:noProof/>
          <w:kern w:val="0"/>
          <w:sz w:val="24"/>
          <w:szCs w:val="24"/>
          <w:lang w:eastAsia="es-CL"/>
          <w14:ligatures w14:val="none"/>
        </w:rPr>
        <w:t xml:space="preserve">, </w:t>
      </w:r>
      <w:r w:rsidRPr="00910C2A">
        <w:rPr>
          <w:rFonts w:ascii="Times New Roman" w:eastAsia="Times New Roman" w:hAnsi="Times New Roman" w:cs="Times New Roman"/>
          <w:i/>
          <w:iCs/>
          <w:noProof/>
          <w:kern w:val="0"/>
          <w:sz w:val="24"/>
          <w:szCs w:val="24"/>
          <w:lang w:eastAsia="es-CL"/>
          <w14:ligatures w14:val="none"/>
        </w:rPr>
        <w:t>48</w:t>
      </w:r>
      <w:r w:rsidRPr="00910C2A">
        <w:rPr>
          <w:rFonts w:ascii="Times New Roman" w:eastAsia="Times New Roman" w:hAnsi="Times New Roman" w:cs="Times New Roman"/>
          <w:noProof/>
          <w:kern w:val="0"/>
          <w:sz w:val="24"/>
          <w:szCs w:val="24"/>
          <w:lang w:eastAsia="es-CL"/>
          <w14:ligatures w14:val="none"/>
        </w:rPr>
        <w:t>(2), 147-175.</w:t>
      </w:r>
      <w:r>
        <w:rPr>
          <w:rFonts w:ascii="Times New Roman" w:eastAsia="Times New Roman" w:hAnsi="Times New Roman" w:cs="Times New Roman"/>
          <w:noProof/>
          <w:kern w:val="0"/>
          <w:sz w:val="24"/>
          <w:szCs w:val="24"/>
          <w:lang w:eastAsia="es-CL"/>
          <w14:ligatures w14:val="none"/>
        </w:rPr>
        <w:t xml:space="preserve"> </w:t>
      </w:r>
      <w:hyperlink r:id="rId8" w:history="1">
        <w:r w:rsidRPr="003C0124">
          <w:rPr>
            <w:rStyle w:val="Hipervnculo"/>
            <w:rFonts w:ascii="Times New Roman" w:eastAsia="Times New Roman" w:hAnsi="Times New Roman" w:cs="Times New Roman"/>
            <w:noProof/>
            <w:kern w:val="0"/>
            <w:sz w:val="24"/>
            <w:szCs w:val="24"/>
            <w:lang w:eastAsia="es-CL"/>
            <w14:ligatures w14:val="none"/>
          </w:rPr>
          <w:t>https://doi.org/10.1177/0022427810391539</w:t>
        </w:r>
      </w:hyperlink>
    </w:p>
    <w:p w14:paraId="1DDBECF0" w14:textId="0CA003F3" w:rsidR="00910C2A" w:rsidRPr="00910C2A" w:rsidRDefault="00910C2A" w:rsidP="00910C2A">
      <w:pPr>
        <w:spacing w:before="100" w:beforeAutospacing="1" w:after="100" w:afterAutospacing="1" w:line="240" w:lineRule="auto"/>
        <w:jc w:val="both"/>
        <w:rPr>
          <w:rFonts w:ascii="Times New Roman" w:eastAsia="Times New Roman" w:hAnsi="Times New Roman" w:cs="Times New Roman"/>
          <w:noProof/>
          <w:kern w:val="0"/>
          <w:sz w:val="24"/>
          <w:szCs w:val="24"/>
          <w:lang w:eastAsia="es-CL"/>
          <w14:ligatures w14:val="none"/>
        </w:rPr>
      </w:pPr>
      <w:r w:rsidRPr="00910C2A">
        <w:rPr>
          <w:rFonts w:ascii="Times New Roman" w:eastAsia="Times New Roman" w:hAnsi="Times New Roman" w:cs="Times New Roman"/>
          <w:noProof/>
          <w:kern w:val="0"/>
          <w:sz w:val="24"/>
          <w:szCs w:val="24"/>
          <w:lang w:eastAsia="es-CL"/>
          <w14:ligatures w14:val="none"/>
        </w:rPr>
        <w:t xml:space="preserve">Soares, R. R., &amp; Naritomi, J. (2010). Understanding high crime rates in Latin America: The role of social and policy factors. In </w:t>
      </w:r>
      <w:r w:rsidRPr="00910C2A">
        <w:rPr>
          <w:rFonts w:ascii="Times New Roman" w:eastAsia="Times New Roman" w:hAnsi="Times New Roman" w:cs="Times New Roman"/>
          <w:i/>
          <w:iCs/>
          <w:noProof/>
          <w:kern w:val="0"/>
          <w:sz w:val="24"/>
          <w:szCs w:val="24"/>
          <w:lang w:eastAsia="es-CL"/>
          <w14:ligatures w14:val="none"/>
        </w:rPr>
        <w:t>The economics of crime: Lessons for and from Latin America</w:t>
      </w:r>
      <w:r w:rsidRPr="00910C2A">
        <w:rPr>
          <w:rFonts w:ascii="Times New Roman" w:eastAsia="Times New Roman" w:hAnsi="Times New Roman" w:cs="Times New Roman"/>
          <w:noProof/>
          <w:kern w:val="0"/>
          <w:sz w:val="24"/>
          <w:szCs w:val="24"/>
          <w:lang w:eastAsia="es-CL"/>
          <w14:ligatures w14:val="none"/>
        </w:rPr>
        <w:t xml:space="preserve"> (pp. 19-55). University of Chicago Press.</w:t>
      </w:r>
    </w:p>
    <w:sectPr w:rsidR="00910C2A" w:rsidRPr="00910C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C99"/>
    <w:multiLevelType w:val="multilevel"/>
    <w:tmpl w:val="882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57289"/>
    <w:multiLevelType w:val="multilevel"/>
    <w:tmpl w:val="93E4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77F93"/>
    <w:multiLevelType w:val="multilevel"/>
    <w:tmpl w:val="1F9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D4FFE"/>
    <w:multiLevelType w:val="multilevel"/>
    <w:tmpl w:val="38C6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11327"/>
    <w:multiLevelType w:val="multilevel"/>
    <w:tmpl w:val="F874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820333">
    <w:abstractNumId w:val="0"/>
  </w:num>
  <w:num w:numId="2" w16cid:durableId="724988636">
    <w:abstractNumId w:val="4"/>
  </w:num>
  <w:num w:numId="3" w16cid:durableId="111560305">
    <w:abstractNumId w:val="2"/>
  </w:num>
  <w:num w:numId="4" w16cid:durableId="419714362">
    <w:abstractNumId w:val="1"/>
  </w:num>
  <w:num w:numId="5" w16cid:durableId="173686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4D"/>
    <w:rsid w:val="0001352A"/>
    <w:rsid w:val="00080DD8"/>
    <w:rsid w:val="001C744D"/>
    <w:rsid w:val="00221CE3"/>
    <w:rsid w:val="003554C1"/>
    <w:rsid w:val="0071126F"/>
    <w:rsid w:val="00882952"/>
    <w:rsid w:val="00910C2A"/>
    <w:rsid w:val="009115F9"/>
    <w:rsid w:val="009260F7"/>
    <w:rsid w:val="00B2743A"/>
    <w:rsid w:val="00D14388"/>
    <w:rsid w:val="00EC2505"/>
    <w:rsid w:val="00ED5621"/>
    <w:rsid w:val="00FD47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D0BA"/>
  <w15:chartTrackingRefBased/>
  <w15:docId w15:val="{D72436AA-0D98-46E3-8DD1-EA040A2D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7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7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74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74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74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74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74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74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74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74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74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74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74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74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74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74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74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744D"/>
    <w:rPr>
      <w:rFonts w:eastAsiaTheme="majorEastAsia" w:cstheme="majorBidi"/>
      <w:color w:val="272727" w:themeColor="text1" w:themeTint="D8"/>
    </w:rPr>
  </w:style>
  <w:style w:type="paragraph" w:styleId="Ttulo">
    <w:name w:val="Title"/>
    <w:basedOn w:val="Normal"/>
    <w:next w:val="Normal"/>
    <w:link w:val="TtuloCar"/>
    <w:uiPriority w:val="10"/>
    <w:qFormat/>
    <w:rsid w:val="001C7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74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74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74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744D"/>
    <w:pPr>
      <w:spacing w:before="160"/>
      <w:jc w:val="center"/>
    </w:pPr>
    <w:rPr>
      <w:i/>
      <w:iCs/>
      <w:color w:val="404040" w:themeColor="text1" w:themeTint="BF"/>
    </w:rPr>
  </w:style>
  <w:style w:type="character" w:customStyle="1" w:styleId="CitaCar">
    <w:name w:val="Cita Car"/>
    <w:basedOn w:val="Fuentedeprrafopredeter"/>
    <w:link w:val="Cita"/>
    <w:uiPriority w:val="29"/>
    <w:rsid w:val="001C744D"/>
    <w:rPr>
      <w:i/>
      <w:iCs/>
      <w:color w:val="404040" w:themeColor="text1" w:themeTint="BF"/>
    </w:rPr>
  </w:style>
  <w:style w:type="paragraph" w:styleId="Prrafodelista">
    <w:name w:val="List Paragraph"/>
    <w:basedOn w:val="Normal"/>
    <w:uiPriority w:val="34"/>
    <w:qFormat/>
    <w:rsid w:val="001C744D"/>
    <w:pPr>
      <w:ind w:left="720"/>
      <w:contextualSpacing/>
    </w:pPr>
  </w:style>
  <w:style w:type="character" w:styleId="nfasisintenso">
    <w:name w:val="Intense Emphasis"/>
    <w:basedOn w:val="Fuentedeprrafopredeter"/>
    <w:uiPriority w:val="21"/>
    <w:qFormat/>
    <w:rsid w:val="001C744D"/>
    <w:rPr>
      <w:i/>
      <w:iCs/>
      <w:color w:val="0F4761" w:themeColor="accent1" w:themeShade="BF"/>
    </w:rPr>
  </w:style>
  <w:style w:type="paragraph" w:styleId="Citadestacada">
    <w:name w:val="Intense Quote"/>
    <w:basedOn w:val="Normal"/>
    <w:next w:val="Normal"/>
    <w:link w:val="CitadestacadaCar"/>
    <w:uiPriority w:val="30"/>
    <w:qFormat/>
    <w:rsid w:val="001C7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744D"/>
    <w:rPr>
      <w:i/>
      <w:iCs/>
      <w:color w:val="0F4761" w:themeColor="accent1" w:themeShade="BF"/>
    </w:rPr>
  </w:style>
  <w:style w:type="character" w:styleId="Referenciaintensa">
    <w:name w:val="Intense Reference"/>
    <w:basedOn w:val="Fuentedeprrafopredeter"/>
    <w:uiPriority w:val="32"/>
    <w:qFormat/>
    <w:rsid w:val="001C744D"/>
    <w:rPr>
      <w:b/>
      <w:bCs/>
      <w:smallCaps/>
      <w:color w:val="0F4761" w:themeColor="accent1" w:themeShade="BF"/>
      <w:spacing w:val="5"/>
    </w:rPr>
  </w:style>
  <w:style w:type="character" w:styleId="Hipervnculo">
    <w:name w:val="Hyperlink"/>
    <w:basedOn w:val="Fuentedeprrafopredeter"/>
    <w:uiPriority w:val="99"/>
    <w:unhideWhenUsed/>
    <w:rsid w:val="00910C2A"/>
    <w:rPr>
      <w:color w:val="467886" w:themeColor="hyperlink"/>
      <w:u w:val="single"/>
    </w:rPr>
  </w:style>
  <w:style w:type="character" w:styleId="Mencinsinresolver">
    <w:name w:val="Unresolved Mention"/>
    <w:basedOn w:val="Fuentedeprrafopredeter"/>
    <w:uiPriority w:val="99"/>
    <w:semiHidden/>
    <w:unhideWhenUsed/>
    <w:rsid w:val="00910C2A"/>
    <w:rPr>
      <w:color w:val="605E5C"/>
      <w:shd w:val="clear" w:color="auto" w:fill="E1DFDD"/>
    </w:rPr>
  </w:style>
  <w:style w:type="character" w:styleId="Hipervnculovisitado">
    <w:name w:val="FollowedHyperlink"/>
    <w:basedOn w:val="Fuentedeprrafopredeter"/>
    <w:uiPriority w:val="99"/>
    <w:semiHidden/>
    <w:unhideWhenUsed/>
    <w:rsid w:val="00910C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22427810391539" TargetMode="External"/><Relationship Id="rId3" Type="http://schemas.openxmlformats.org/officeDocument/2006/relationships/settings" Target="settings.xml"/><Relationship Id="rId7" Type="http://schemas.openxmlformats.org/officeDocument/2006/relationships/hyperlink" Target="https://doi.org/10.1186/s40163-020-0013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irle.2008.02.005" TargetMode="External"/><Relationship Id="rId5" Type="http://schemas.openxmlformats.org/officeDocument/2006/relationships/hyperlink" Target="https://doi.org/10.5089/9798400288470.08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1010</Words>
  <Characters>6061</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Cares Molina</dc:creator>
  <cp:keywords/>
  <dc:description/>
  <cp:lastModifiedBy>Cristóbal Cares Molina</cp:lastModifiedBy>
  <cp:revision>1</cp:revision>
  <dcterms:created xsi:type="dcterms:W3CDTF">2026-03-28T17:48:00Z</dcterms:created>
  <dcterms:modified xsi:type="dcterms:W3CDTF">2026-03-28T18:37:00Z</dcterms:modified>
</cp:coreProperties>
</file>