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05F3BB" w14:textId="57B64CA6" w:rsidR="00221CE3" w:rsidRPr="002D36C6" w:rsidRDefault="00DE0C8D" w:rsidP="002D36C6">
      <w:pPr>
        <w:pStyle w:val="Ttulo1"/>
        <w:spacing w:before="120" w:after="120"/>
        <w:jc w:val="center"/>
        <w:rPr>
          <w:rFonts w:ascii="Verdana" w:hAnsi="Verdana"/>
          <w:b/>
          <w:bCs/>
          <w:sz w:val="20"/>
          <w:szCs w:val="20"/>
          <w:lang w:val="es-MX"/>
        </w:rPr>
      </w:pPr>
      <w:bookmarkStart w:id="0" w:name="_GoBack"/>
      <w:bookmarkEnd w:id="0"/>
      <w:r w:rsidRPr="002D36C6">
        <w:rPr>
          <w:rFonts w:ascii="Verdana" w:hAnsi="Verdana"/>
          <w:b/>
          <w:bCs/>
          <w:sz w:val="20"/>
          <w:szCs w:val="20"/>
          <w:lang w:val="es-MX"/>
        </w:rPr>
        <w:t>Estado del Arte</w:t>
      </w:r>
    </w:p>
    <w:p w14:paraId="3A5E5294" w14:textId="4F6D616B" w:rsidR="00DE0C8D" w:rsidRPr="002D36C6" w:rsidRDefault="00DE0C8D" w:rsidP="002D36C6">
      <w:pPr>
        <w:pStyle w:val="Ttulo2"/>
        <w:spacing w:before="120" w:after="120"/>
        <w:jc w:val="both"/>
        <w:rPr>
          <w:rFonts w:ascii="Verdana" w:hAnsi="Verdana"/>
          <w:b/>
          <w:bCs/>
          <w:i/>
          <w:iCs/>
          <w:sz w:val="20"/>
          <w:szCs w:val="20"/>
          <w:lang w:val="es-MX"/>
        </w:rPr>
      </w:pPr>
      <w:r w:rsidRPr="002D36C6">
        <w:rPr>
          <w:rFonts w:ascii="Verdana" w:hAnsi="Verdana"/>
          <w:b/>
          <w:bCs/>
          <w:i/>
          <w:iCs/>
          <w:sz w:val="20"/>
          <w:szCs w:val="20"/>
          <w:lang w:val="es-MX"/>
        </w:rPr>
        <w:t>Determinantes y tendencias del crimen</w:t>
      </w:r>
    </w:p>
    <w:p w14:paraId="4B64D3F9" w14:textId="301EA09D" w:rsidR="00DE0C8D" w:rsidRPr="002D36C6" w:rsidRDefault="00DE0C8D" w:rsidP="002D36C6">
      <w:pPr>
        <w:spacing w:before="120" w:after="120"/>
        <w:jc w:val="both"/>
        <w:rPr>
          <w:rFonts w:ascii="Verdana" w:hAnsi="Verdana"/>
          <w:sz w:val="20"/>
          <w:szCs w:val="20"/>
          <w:lang w:val="es-MX"/>
        </w:rPr>
      </w:pPr>
      <w:r w:rsidRPr="002D36C6">
        <w:rPr>
          <w:rFonts w:ascii="Verdana" w:hAnsi="Verdana"/>
          <w:sz w:val="20"/>
          <w:szCs w:val="20"/>
          <w:lang w:val="es-MX"/>
        </w:rPr>
        <w:t xml:space="preserve">El estudio de los determinantes y tendencias del crimen se ha sustentado históricamente en dos grandes marcos teóricos que, aunque divergentes en sus premisas, suelen complementarse en la explicación del fenómeno delictivo. Por un lado, la perspectiva económica, derivada del modelo racional de Becker (1968), concibe el crimen como una decisión individual basada en un cálculo de costos y beneficios, donde factores como los retornos esperados de la actividad ilegal, la probabilidad de arresto y la severidad del castigo son centrales (Han, Bandyopadhyay y </w:t>
      </w:r>
      <w:proofErr w:type="spellStart"/>
      <w:r w:rsidRPr="002D36C6">
        <w:rPr>
          <w:rFonts w:ascii="Verdana" w:hAnsi="Verdana"/>
          <w:sz w:val="20"/>
          <w:szCs w:val="20"/>
          <w:lang w:val="es-MX"/>
        </w:rPr>
        <w:t>Bhattacharya</w:t>
      </w:r>
      <w:proofErr w:type="spellEnd"/>
      <w:r w:rsidRPr="002D36C6">
        <w:rPr>
          <w:rFonts w:ascii="Verdana" w:hAnsi="Verdana"/>
          <w:sz w:val="20"/>
          <w:szCs w:val="20"/>
          <w:lang w:val="es-MX"/>
        </w:rPr>
        <w:t xml:space="preserve">, 2013; </w:t>
      </w:r>
      <w:proofErr w:type="spellStart"/>
      <w:r w:rsidRPr="002D36C6">
        <w:rPr>
          <w:rFonts w:ascii="Verdana" w:hAnsi="Verdana"/>
          <w:sz w:val="20"/>
          <w:szCs w:val="20"/>
          <w:lang w:val="es-MX"/>
        </w:rPr>
        <w:t>Shamugia</w:t>
      </w:r>
      <w:proofErr w:type="spellEnd"/>
      <w:r w:rsidRPr="002D36C6">
        <w:rPr>
          <w:rFonts w:ascii="Verdana" w:hAnsi="Verdana"/>
          <w:sz w:val="20"/>
          <w:szCs w:val="20"/>
          <w:lang w:val="es-MX"/>
        </w:rPr>
        <w:t xml:space="preserve"> y </w:t>
      </w:r>
      <w:proofErr w:type="spellStart"/>
      <w:r w:rsidRPr="002D36C6">
        <w:rPr>
          <w:rFonts w:ascii="Verdana" w:hAnsi="Verdana"/>
          <w:sz w:val="20"/>
          <w:szCs w:val="20"/>
          <w:lang w:val="es-MX"/>
        </w:rPr>
        <w:t>Ketsbaia</w:t>
      </w:r>
      <w:proofErr w:type="spellEnd"/>
      <w:r w:rsidRPr="002D36C6">
        <w:rPr>
          <w:rFonts w:ascii="Verdana" w:hAnsi="Verdana"/>
          <w:sz w:val="20"/>
          <w:szCs w:val="20"/>
          <w:lang w:val="es-MX"/>
        </w:rPr>
        <w:t>, 2024; Yin, 2017). Por otro, un conjunto de teorías sociológicas y ecológicas, como la desorganización social</w:t>
      </w:r>
      <w:r w:rsidR="00A031C0">
        <w:rPr>
          <w:rFonts w:ascii="Verdana" w:hAnsi="Verdana"/>
          <w:sz w:val="20"/>
          <w:szCs w:val="20"/>
          <w:lang w:val="es-MX"/>
        </w:rPr>
        <w:t xml:space="preserve"> (</w:t>
      </w:r>
      <w:r w:rsidR="00A031C0" w:rsidRPr="00A031C0">
        <w:rPr>
          <w:rFonts w:ascii="Verdana" w:hAnsi="Verdana"/>
          <w:sz w:val="20"/>
          <w:szCs w:val="20"/>
          <w:lang w:val="es-MX"/>
        </w:rPr>
        <w:t>Shaw &amp; McKay, 1942</w:t>
      </w:r>
      <w:r w:rsidR="00C532CA">
        <w:rPr>
          <w:rFonts w:ascii="Verdana" w:hAnsi="Verdana"/>
          <w:sz w:val="20"/>
          <w:szCs w:val="20"/>
          <w:lang w:val="es-MX"/>
        </w:rPr>
        <w:t>)</w:t>
      </w:r>
      <w:r w:rsidRPr="002D36C6">
        <w:rPr>
          <w:rFonts w:ascii="Verdana" w:hAnsi="Verdana"/>
          <w:sz w:val="20"/>
          <w:szCs w:val="20"/>
          <w:lang w:val="es-MX"/>
        </w:rPr>
        <w:t xml:space="preserve"> y la teoría de las actividades rutinarias (Cohen y Felson, 1979), enfatiza el rol del entorno comunitario, el debilitamiento de los lazos sociales y las oportunidades generadas por las rutinas cotidianas en la gestación del delito (Battin y </w:t>
      </w:r>
      <w:proofErr w:type="spellStart"/>
      <w:r w:rsidRPr="002D36C6">
        <w:rPr>
          <w:rFonts w:ascii="Verdana" w:hAnsi="Verdana"/>
          <w:sz w:val="20"/>
          <w:szCs w:val="20"/>
          <w:lang w:val="es-MX"/>
        </w:rPr>
        <w:t>Crowl</w:t>
      </w:r>
      <w:proofErr w:type="spellEnd"/>
      <w:r w:rsidRPr="002D36C6">
        <w:rPr>
          <w:rFonts w:ascii="Verdana" w:hAnsi="Verdana"/>
          <w:sz w:val="20"/>
          <w:szCs w:val="20"/>
          <w:lang w:val="es-MX"/>
        </w:rPr>
        <w:t xml:space="preserve">, 2017; </w:t>
      </w:r>
      <w:proofErr w:type="spellStart"/>
      <w:r w:rsidRPr="002D36C6">
        <w:rPr>
          <w:rFonts w:ascii="Verdana" w:hAnsi="Verdana"/>
          <w:sz w:val="20"/>
          <w:szCs w:val="20"/>
          <w:lang w:val="es-MX"/>
        </w:rPr>
        <w:t>Shamugia</w:t>
      </w:r>
      <w:proofErr w:type="spellEnd"/>
      <w:r w:rsidRPr="002D36C6">
        <w:rPr>
          <w:rFonts w:ascii="Verdana" w:hAnsi="Verdana"/>
          <w:sz w:val="20"/>
          <w:szCs w:val="20"/>
          <w:lang w:val="es-MX"/>
        </w:rPr>
        <w:t xml:space="preserve"> y </w:t>
      </w:r>
      <w:proofErr w:type="spellStart"/>
      <w:r w:rsidRPr="002D36C6">
        <w:rPr>
          <w:rFonts w:ascii="Verdana" w:hAnsi="Verdana"/>
          <w:sz w:val="20"/>
          <w:szCs w:val="20"/>
          <w:lang w:val="es-MX"/>
        </w:rPr>
        <w:t>Ketsbaia</w:t>
      </w:r>
      <w:proofErr w:type="spellEnd"/>
      <w:r w:rsidRPr="002D36C6">
        <w:rPr>
          <w:rFonts w:ascii="Verdana" w:hAnsi="Verdana"/>
          <w:sz w:val="20"/>
          <w:szCs w:val="20"/>
          <w:lang w:val="es-MX"/>
        </w:rPr>
        <w:t xml:space="preserve">, 2024; </w:t>
      </w:r>
      <w:proofErr w:type="spellStart"/>
      <w:r w:rsidRPr="002D36C6">
        <w:rPr>
          <w:rFonts w:ascii="Verdana" w:hAnsi="Verdana"/>
          <w:sz w:val="20"/>
          <w:szCs w:val="20"/>
          <w:lang w:val="es-MX"/>
        </w:rPr>
        <w:t>Appiahene-Gyamfi</w:t>
      </w:r>
      <w:proofErr w:type="spellEnd"/>
      <w:r w:rsidRPr="002D36C6">
        <w:rPr>
          <w:rFonts w:ascii="Verdana" w:hAnsi="Verdana"/>
          <w:sz w:val="20"/>
          <w:szCs w:val="20"/>
          <w:lang w:val="es-MX"/>
        </w:rPr>
        <w:t>, 2022). Esta dualidad teórica subyace a la vasta literatura empírica que busca identificar los factores estructurales y dinámicos que moldean la criminalidad.</w:t>
      </w:r>
    </w:p>
    <w:p w14:paraId="7F0AE76F" w14:textId="2ABCC0A8" w:rsidR="00DE0C8D" w:rsidRPr="002D36C6" w:rsidRDefault="00DE0C8D" w:rsidP="002D36C6">
      <w:pPr>
        <w:spacing w:before="120" w:after="120"/>
        <w:jc w:val="both"/>
        <w:rPr>
          <w:rFonts w:ascii="Verdana" w:hAnsi="Verdana"/>
          <w:sz w:val="20"/>
          <w:szCs w:val="20"/>
          <w:lang w:val="es-MX"/>
        </w:rPr>
      </w:pPr>
      <w:r w:rsidRPr="002D36C6">
        <w:rPr>
          <w:rFonts w:ascii="Verdana" w:hAnsi="Verdana"/>
          <w:sz w:val="20"/>
          <w:szCs w:val="20"/>
          <w:lang w:val="es-MX"/>
        </w:rPr>
        <w:t>Dentro de los determinantes estructurales, las condiciones socioeconómicas ocupan un lugar primordial, aunque sus efectos específicos son matizados. La pobreza y una elevada proporción de hogares encabezados por mujeres con hijos se asocian consistentemente con mayores tasas de delitos, tanto violentos como contra la propiedad (Battin y Crowl, 2017; Shahid et al., 2024). No obstante, el papel de otras variables como el desempleo o el nivel educativo muestra resultados menos consistentes, con estudios que encuentran efectos ambiguos o limitados (</w:t>
      </w:r>
      <w:r w:rsidR="007436F4" w:rsidRPr="007436F4">
        <w:rPr>
          <w:rFonts w:ascii="Verdana" w:hAnsi="Verdana"/>
          <w:sz w:val="20"/>
          <w:szCs w:val="20"/>
          <w:lang w:val="es-MX"/>
        </w:rPr>
        <w:t>Han, Bandyopadhyay y Bhattacharya,</w:t>
      </w:r>
      <w:r w:rsidR="007436F4">
        <w:rPr>
          <w:rFonts w:ascii="Verdana" w:hAnsi="Verdana"/>
          <w:sz w:val="20"/>
          <w:szCs w:val="20"/>
          <w:lang w:val="es-MX"/>
        </w:rPr>
        <w:t xml:space="preserve"> </w:t>
      </w:r>
      <w:r w:rsidRPr="002D36C6">
        <w:rPr>
          <w:rFonts w:ascii="Verdana" w:hAnsi="Verdana"/>
          <w:sz w:val="20"/>
          <w:szCs w:val="20"/>
          <w:lang w:val="es-MX"/>
        </w:rPr>
        <w:t>2013; Yin, 2017). Un debate particularmente relevante es el de la desigualdad. Investigaciones como la de Goda y Torres (2018) demuestran que, en contextos internacionales, la desigualdad absoluta del ingreso, que captura la distancia monetaria real entre individuos, es un predictor mucho más robusto de los delitos violentos contra la propiedad que la desigualdad relativa (medida, por ejemplo, por el coeficiente de Gini). Este hallazgo refuerza la lógica económica del crimen, al señalar que los incentivos para delinquir dependen de las diferencias absolutas de ganancia entre actividades legales e ilegales, al tiempo que sugiere que una alta desigualdad absoluta puede corroer la legitimidad institucional y fomentar la anomia.</w:t>
      </w:r>
    </w:p>
    <w:p w14:paraId="7FA3CA71" w14:textId="7827F9AE" w:rsidR="00DE0C8D" w:rsidRPr="002D36C6" w:rsidRDefault="00DE0C8D" w:rsidP="002D36C6">
      <w:pPr>
        <w:spacing w:before="120" w:after="120"/>
        <w:jc w:val="both"/>
        <w:rPr>
          <w:rFonts w:ascii="Verdana" w:hAnsi="Verdana"/>
          <w:sz w:val="20"/>
          <w:szCs w:val="20"/>
          <w:lang w:val="es-MX"/>
        </w:rPr>
      </w:pPr>
      <w:r w:rsidRPr="002D36C6">
        <w:rPr>
          <w:rFonts w:ascii="Verdana" w:hAnsi="Verdana"/>
          <w:sz w:val="20"/>
          <w:szCs w:val="20"/>
          <w:lang w:val="es-MX"/>
        </w:rPr>
        <w:t>La configuración espacial y demográfica de los territorios constituye otra dimensión analítica relevante. La relación entre densidad poblacional y crimen es compleja y parece estar mediada por el tipo de delito y el contexto socioeconómico. Mientras Battin y Crowl (2017) encuentran que una menor densidad se correlaciona con más delitos contra la propiedad en áreas suburbanas y rurales, Harries (2006) observa una correlación positiva entre densidad y ambos tipos de delito a escala de manzanas urbanas, negando la hipótesis de un "efecto de vigilancia natural" que inhibiría la violencia en áreas densas. Este autor subraya que el nivel socioeconómico modera fuertemente esta relación, de modo que las zonas de alta densidad y bajo estatus presentan mayores incentivos para la depredación. La expansión urbana, caracterizada por baja densidad, mezcla de usos de suelo y desconexión vial, también se vincula con patrones delictivos, al debilitar potencialmente el control social informal y la eficacia colectiva (Battin y Crowl, 2017). Asimismo, el proceso de urbanización emerge como un factor que incrementa el crimen, especialmente los delitos contra la propiedad, al concentrar bienes y reducir la probabilidad percibida de arresto (</w:t>
      </w:r>
      <w:proofErr w:type="spellStart"/>
      <w:r w:rsidRPr="002D36C6">
        <w:rPr>
          <w:rFonts w:ascii="Verdana" w:hAnsi="Verdana"/>
          <w:sz w:val="20"/>
          <w:szCs w:val="20"/>
          <w:lang w:val="es-MX"/>
        </w:rPr>
        <w:t>Shamugia</w:t>
      </w:r>
      <w:proofErr w:type="spellEnd"/>
      <w:r w:rsidRPr="002D36C6">
        <w:rPr>
          <w:rFonts w:ascii="Verdana" w:hAnsi="Verdana"/>
          <w:sz w:val="20"/>
          <w:szCs w:val="20"/>
          <w:lang w:val="es-MX"/>
        </w:rPr>
        <w:t xml:space="preserve"> y </w:t>
      </w:r>
      <w:proofErr w:type="spellStart"/>
      <w:r w:rsidRPr="002D36C6">
        <w:rPr>
          <w:rFonts w:ascii="Verdana" w:hAnsi="Verdana"/>
          <w:sz w:val="20"/>
          <w:szCs w:val="20"/>
          <w:lang w:val="es-MX"/>
        </w:rPr>
        <w:t>Ketsbaia</w:t>
      </w:r>
      <w:proofErr w:type="spellEnd"/>
      <w:r w:rsidRPr="002D36C6">
        <w:rPr>
          <w:rFonts w:ascii="Verdana" w:hAnsi="Verdana"/>
          <w:sz w:val="20"/>
          <w:szCs w:val="20"/>
          <w:lang w:val="es-MX"/>
        </w:rPr>
        <w:t>, 2024; Shahid et al., 2024).</w:t>
      </w:r>
    </w:p>
    <w:p w14:paraId="406299FA" w14:textId="195BA4F4" w:rsidR="00DE0C8D" w:rsidRPr="002D36C6" w:rsidRDefault="00DE0C8D" w:rsidP="002D36C6">
      <w:pPr>
        <w:spacing w:before="120" w:after="120"/>
        <w:jc w:val="both"/>
        <w:rPr>
          <w:rFonts w:ascii="Verdana" w:hAnsi="Verdana"/>
          <w:sz w:val="20"/>
          <w:szCs w:val="20"/>
          <w:lang w:val="es-MX"/>
        </w:rPr>
      </w:pPr>
      <w:r w:rsidRPr="002D36C6">
        <w:rPr>
          <w:rFonts w:ascii="Verdana" w:hAnsi="Verdana"/>
          <w:sz w:val="20"/>
          <w:szCs w:val="20"/>
          <w:lang w:val="es-MX"/>
        </w:rPr>
        <w:lastRenderedPageBreak/>
        <w:t>Frente a estos factores de "empuje", la capacidad disuasoria del sistema de justicia penal se erige como un contrapeso clave. La evidencia es sólida en señalar que una mayor eficacia policial, medida a través de tasas de detección o aclaración de casos, así como una mayor presencia o capacidad de encarcelamiento, se correlacionan significativamente con una reducción en las tasas de criminalidad (</w:t>
      </w:r>
      <w:r w:rsidR="007436F4" w:rsidRPr="007436F4">
        <w:rPr>
          <w:rFonts w:ascii="Verdana" w:hAnsi="Verdana"/>
          <w:sz w:val="20"/>
          <w:szCs w:val="20"/>
          <w:lang w:val="es-MX"/>
        </w:rPr>
        <w:t xml:space="preserve">Han, Bandyopadhyay y </w:t>
      </w:r>
      <w:proofErr w:type="spellStart"/>
      <w:r w:rsidR="007436F4" w:rsidRPr="007436F4">
        <w:rPr>
          <w:rFonts w:ascii="Verdana" w:hAnsi="Verdana"/>
          <w:sz w:val="20"/>
          <w:szCs w:val="20"/>
          <w:lang w:val="es-MX"/>
        </w:rPr>
        <w:t>Bhattacharya</w:t>
      </w:r>
      <w:proofErr w:type="spellEnd"/>
      <w:r w:rsidR="007436F4" w:rsidRPr="007436F4">
        <w:rPr>
          <w:rFonts w:ascii="Verdana" w:hAnsi="Verdana"/>
          <w:sz w:val="20"/>
          <w:szCs w:val="20"/>
          <w:lang w:val="es-MX"/>
        </w:rPr>
        <w:t>, 2013</w:t>
      </w:r>
      <w:r w:rsidRPr="002D36C6">
        <w:rPr>
          <w:rFonts w:ascii="Verdana" w:hAnsi="Verdana"/>
          <w:sz w:val="20"/>
          <w:szCs w:val="20"/>
          <w:lang w:val="es-MX"/>
        </w:rPr>
        <w:t xml:space="preserve">; </w:t>
      </w:r>
      <w:proofErr w:type="spellStart"/>
      <w:r w:rsidRPr="002D36C6">
        <w:rPr>
          <w:rFonts w:ascii="Verdana" w:hAnsi="Verdana"/>
          <w:sz w:val="20"/>
          <w:szCs w:val="20"/>
          <w:lang w:val="es-MX"/>
        </w:rPr>
        <w:t>Shamugia</w:t>
      </w:r>
      <w:proofErr w:type="spellEnd"/>
      <w:r w:rsidRPr="002D36C6">
        <w:rPr>
          <w:rFonts w:ascii="Verdana" w:hAnsi="Verdana"/>
          <w:sz w:val="20"/>
          <w:szCs w:val="20"/>
          <w:lang w:val="es-MX"/>
        </w:rPr>
        <w:t xml:space="preserve"> y </w:t>
      </w:r>
      <w:proofErr w:type="spellStart"/>
      <w:r w:rsidRPr="002D36C6">
        <w:rPr>
          <w:rFonts w:ascii="Verdana" w:hAnsi="Verdana"/>
          <w:sz w:val="20"/>
          <w:szCs w:val="20"/>
          <w:lang w:val="es-MX"/>
        </w:rPr>
        <w:t>Ketsbaia</w:t>
      </w:r>
      <w:proofErr w:type="spellEnd"/>
      <w:r w:rsidRPr="002D36C6">
        <w:rPr>
          <w:rFonts w:ascii="Verdana" w:hAnsi="Verdana"/>
          <w:sz w:val="20"/>
          <w:szCs w:val="20"/>
          <w:lang w:val="es-MX"/>
        </w:rPr>
        <w:t>, 2024; Yin, 2017). Este hallazgo respalda el núcleo de la teoría económica del crimen, al confirmar que el aumento del costo esperado del delito opera como un desincentivo efectivo.</w:t>
      </w:r>
    </w:p>
    <w:p w14:paraId="75756180" w14:textId="7CEB9023" w:rsidR="00DE0C8D" w:rsidRPr="002D36C6" w:rsidRDefault="00DE0C8D" w:rsidP="002D36C6">
      <w:pPr>
        <w:spacing w:before="120" w:after="120"/>
        <w:jc w:val="both"/>
        <w:rPr>
          <w:rFonts w:ascii="Verdana" w:hAnsi="Verdana"/>
          <w:sz w:val="20"/>
          <w:szCs w:val="20"/>
          <w:lang w:val="es-MX"/>
        </w:rPr>
      </w:pPr>
      <w:r w:rsidRPr="002D36C6">
        <w:rPr>
          <w:rFonts w:ascii="Verdana" w:hAnsi="Verdana"/>
          <w:sz w:val="20"/>
          <w:szCs w:val="20"/>
          <w:lang w:val="es-MX"/>
        </w:rPr>
        <w:t>En cuanto a las tendencias dinámicas, la literatura destaca que el crimen no se distribuye aleatoriamente en el tiempo ni en el espacio. Temporalmente, se observan patrones estacionales claros, con delitos como agresiones y hurtos aumentando en meses más cálidos, lo que se explica por cambios en las actividades rutinarias que elevan las oportunidades delictivas (</w:t>
      </w:r>
      <w:proofErr w:type="spellStart"/>
      <w:r w:rsidRPr="002D36C6">
        <w:rPr>
          <w:rFonts w:ascii="Verdana" w:hAnsi="Verdana"/>
          <w:sz w:val="20"/>
          <w:szCs w:val="20"/>
          <w:lang w:val="es-MX"/>
        </w:rPr>
        <w:t>Andresen</w:t>
      </w:r>
      <w:proofErr w:type="spellEnd"/>
      <w:r w:rsidRPr="002D36C6">
        <w:rPr>
          <w:rFonts w:ascii="Verdana" w:hAnsi="Verdana"/>
          <w:sz w:val="20"/>
          <w:szCs w:val="20"/>
          <w:lang w:val="es-MX"/>
        </w:rPr>
        <w:t xml:space="preserve"> y </w:t>
      </w:r>
      <w:proofErr w:type="spellStart"/>
      <w:r w:rsidRPr="002D36C6">
        <w:rPr>
          <w:rFonts w:ascii="Verdana" w:hAnsi="Verdana"/>
          <w:sz w:val="20"/>
          <w:szCs w:val="20"/>
          <w:lang w:val="es-MX"/>
        </w:rPr>
        <w:t>Malleson</w:t>
      </w:r>
      <w:proofErr w:type="spellEnd"/>
      <w:r w:rsidRPr="002D36C6">
        <w:rPr>
          <w:rFonts w:ascii="Verdana" w:hAnsi="Verdana"/>
          <w:sz w:val="20"/>
          <w:szCs w:val="20"/>
          <w:lang w:val="es-MX"/>
        </w:rPr>
        <w:t xml:space="preserve">, 2013; </w:t>
      </w:r>
      <w:proofErr w:type="spellStart"/>
      <w:r w:rsidRPr="002D36C6">
        <w:rPr>
          <w:rFonts w:ascii="Verdana" w:hAnsi="Verdana"/>
          <w:sz w:val="20"/>
          <w:szCs w:val="20"/>
          <w:lang w:val="es-MX"/>
        </w:rPr>
        <w:t>Appiahene-Gyamfi</w:t>
      </w:r>
      <w:proofErr w:type="spellEnd"/>
      <w:r w:rsidRPr="002D36C6">
        <w:rPr>
          <w:rFonts w:ascii="Verdana" w:hAnsi="Verdana"/>
          <w:sz w:val="20"/>
          <w:szCs w:val="20"/>
          <w:lang w:val="es-MX"/>
        </w:rPr>
        <w:t>, 2022). A más largo plazo, las tendencias pueden mostrar fluctuaciones marcadas por coyunturas críticas. El caso de México ilustra cómo una intervención estatal contra el crimen organizado puede alterar drásticamente las dinámicas locales, generando picos de violencia homicida que luego se estancan en niveles históricamente elevados (Merino y Fierro, 2016). Por otro lado, datos recientes de Estados Unidos muestran una disminución generalizada en la mayoría de los delitos hacia 2024, tras los aumentos asociados a la pandemia, sugiriendo una cierta resiliencia y reversión a tendencias previas, aunque con notables excepciones como el hurto en tiendas (López y Boxerman, 2024). Espacialmente, el crimen exhibe una alta concentración geográfica, sea en regiones metropolitanas específicas, en "puntos calientes" urbanos que pueden desplazarse con las estaciones, o en corredores de actividad económica (</w:t>
      </w:r>
      <w:proofErr w:type="spellStart"/>
      <w:r w:rsidRPr="002D36C6">
        <w:rPr>
          <w:rFonts w:ascii="Verdana" w:hAnsi="Verdana"/>
          <w:sz w:val="20"/>
          <w:szCs w:val="20"/>
          <w:lang w:val="es-MX"/>
        </w:rPr>
        <w:t>Appiahene-Gyamfi</w:t>
      </w:r>
      <w:proofErr w:type="spellEnd"/>
      <w:r w:rsidRPr="002D36C6">
        <w:rPr>
          <w:rFonts w:ascii="Verdana" w:hAnsi="Verdana"/>
          <w:sz w:val="20"/>
          <w:szCs w:val="20"/>
          <w:lang w:val="es-MX"/>
        </w:rPr>
        <w:t xml:space="preserve">, 2022; </w:t>
      </w:r>
      <w:proofErr w:type="spellStart"/>
      <w:r w:rsidRPr="002D36C6">
        <w:rPr>
          <w:rFonts w:ascii="Verdana" w:hAnsi="Verdana"/>
          <w:sz w:val="20"/>
          <w:szCs w:val="20"/>
          <w:lang w:val="es-MX"/>
        </w:rPr>
        <w:t>Andresen</w:t>
      </w:r>
      <w:proofErr w:type="spellEnd"/>
      <w:r w:rsidRPr="002D36C6">
        <w:rPr>
          <w:rFonts w:ascii="Verdana" w:hAnsi="Verdana"/>
          <w:sz w:val="20"/>
          <w:szCs w:val="20"/>
          <w:lang w:val="es-MX"/>
        </w:rPr>
        <w:t xml:space="preserve"> y </w:t>
      </w:r>
      <w:proofErr w:type="spellStart"/>
      <w:r w:rsidRPr="002D36C6">
        <w:rPr>
          <w:rFonts w:ascii="Verdana" w:hAnsi="Verdana"/>
          <w:sz w:val="20"/>
          <w:szCs w:val="20"/>
          <w:lang w:val="es-MX"/>
        </w:rPr>
        <w:t>Malleson</w:t>
      </w:r>
      <w:proofErr w:type="spellEnd"/>
      <w:r w:rsidRPr="002D36C6">
        <w:rPr>
          <w:rFonts w:ascii="Verdana" w:hAnsi="Verdana"/>
          <w:sz w:val="20"/>
          <w:szCs w:val="20"/>
          <w:lang w:val="es-MX"/>
        </w:rPr>
        <w:t>, 2013; Merino y Fierro, 2016). La letalidad de ciertos delitos, como el robo, también varía espacial y contextualmente, influida por asimetrías en el poder coercitivo, el tipo de escenario y las características de víctimas y victimarios (Bowman et al., 2024).</w:t>
      </w:r>
    </w:p>
    <w:p w14:paraId="38B9516C" w14:textId="3E814A83" w:rsidR="00DE0C8D" w:rsidRPr="002D36C6" w:rsidRDefault="00DE0C8D" w:rsidP="002D36C6">
      <w:pPr>
        <w:spacing w:before="120" w:after="120"/>
        <w:jc w:val="both"/>
        <w:rPr>
          <w:rFonts w:ascii="Verdana" w:hAnsi="Verdana"/>
          <w:sz w:val="20"/>
          <w:szCs w:val="20"/>
          <w:lang w:val="es-MX"/>
        </w:rPr>
      </w:pPr>
      <w:r w:rsidRPr="002D36C6">
        <w:rPr>
          <w:rFonts w:ascii="Verdana" w:hAnsi="Verdana"/>
          <w:sz w:val="20"/>
          <w:szCs w:val="20"/>
          <w:lang w:val="es-MX"/>
        </w:rPr>
        <w:t>En síntesis, la literatura converge en reconocer la multicausalidad del fenómeno criminal, donde determinantes socioeconómicos estructurales, configuraciones urbanas y factores de disuasión institucional interactúan de manera compleja. Asimismo, hay consenso en que el crimen sigue patrones temporales y espaciales predecibles vinculados a rutinas sociales y oportunidades. No obstante, persisten tensiones y vacíos. Los efectos de variables como la densidad poblacional o el desempleo no son unívocos, variando según el contexto geográfico, la escala de análisis y el tipo de delito. Muchos estudios provienen de contextos anglosajones o de realidades muy específicas, dejando un vacío en la comprensión de dinámicas delictivas en países de renta media, como los latinoamericanos, que han experimentado shocks recientes de gran magnitud. El período 2013-2025 en Chile representa un caso de estudio singular, donde tendencias estructurales de largo plazo pudieron verse alteradas por la confluencia de un estallido social de gran envergadura y una pandemia global, eventos que, según la literatura revisada, tienen el potencial de reconfigurar actividades rutinarias, tensionar el tejido social y afectar la capacidad institucional. Estudiar este caso permite no solo testear la generalidad de los hallazgos teóricos en un nuevo contexto, sino también avanzar en la comprensión de cómo grandes conmociones sociales y sanitarias intersecan con los determinantes tradicionales del crimen, un área aun insuficientemente explorada de forma integrada.</w:t>
      </w:r>
    </w:p>
    <w:p w14:paraId="0C0636AD" w14:textId="001D190A" w:rsidR="00DE0C8D" w:rsidRPr="002D36C6" w:rsidRDefault="00DE0C8D" w:rsidP="002D36C6">
      <w:pPr>
        <w:pStyle w:val="Ttulo2"/>
        <w:spacing w:before="120" w:after="120"/>
        <w:jc w:val="both"/>
        <w:rPr>
          <w:rFonts w:ascii="Verdana" w:hAnsi="Verdana"/>
          <w:b/>
          <w:bCs/>
          <w:i/>
          <w:iCs/>
          <w:sz w:val="20"/>
          <w:szCs w:val="20"/>
          <w:lang w:val="es-MX"/>
        </w:rPr>
      </w:pPr>
      <w:r w:rsidRPr="002D36C6">
        <w:rPr>
          <w:rFonts w:ascii="Verdana" w:hAnsi="Verdana"/>
          <w:b/>
          <w:bCs/>
          <w:i/>
          <w:iCs/>
          <w:sz w:val="20"/>
          <w:szCs w:val="20"/>
          <w:lang w:val="es-MX"/>
        </w:rPr>
        <w:lastRenderedPageBreak/>
        <w:t>Contextos de “shock externo”: pandemia y manifestaciones sociales</w:t>
      </w:r>
    </w:p>
    <w:p w14:paraId="400E5549" w14:textId="6508DED2" w:rsidR="00A3093B" w:rsidRPr="002D36C6" w:rsidRDefault="00A3093B" w:rsidP="002D36C6">
      <w:pPr>
        <w:spacing w:before="120" w:after="120"/>
        <w:jc w:val="both"/>
        <w:rPr>
          <w:rFonts w:ascii="Verdana" w:hAnsi="Verdana"/>
          <w:sz w:val="20"/>
          <w:szCs w:val="20"/>
          <w:lang w:val="es-MX"/>
        </w:rPr>
      </w:pPr>
      <w:r w:rsidRPr="002D36C6">
        <w:rPr>
          <w:rFonts w:ascii="Verdana" w:hAnsi="Verdana"/>
          <w:sz w:val="20"/>
          <w:szCs w:val="20"/>
          <w:lang w:val="es-MX"/>
        </w:rPr>
        <w:t>La literatura criminológica ha abordado el impacto de los eventos de "shock" –como pandemias y manifestaciones sociales de gran escala– desde marcos teóricos que privilegian los cambios situacionales en las oportunidades delictivas. En el contexto de la COVID-19, la Teoría de las Actividades Rutinarias (Cohen y Felson, 1979) se erige como el principal lente explicativo, al postular que las restricciones de movilidad alteraron masivamente la convergencia en tiempo y espacio de delincuentes motivados, objetivos adecuados y la ausencia de guardianes capaces (Stickle y Felson, 2020; Regalado, Timmer y Jawaid, 2022). Esta alteración ambiental brusca ofrece un campo de prueba singular para las perspectivas de la criminología ambiental, las cuales demuestran un poder explicativo superior para entender cambios inmediatos en el crimen frente a factores estructurales de más lenta evolución (Stickle y Felson, 2020).</w:t>
      </w:r>
    </w:p>
    <w:p w14:paraId="478B8546" w14:textId="009EC985" w:rsidR="00A3093B" w:rsidRPr="002D36C6" w:rsidRDefault="00A3093B" w:rsidP="002D36C6">
      <w:pPr>
        <w:spacing w:before="120" w:after="120"/>
        <w:jc w:val="both"/>
        <w:rPr>
          <w:rFonts w:ascii="Verdana" w:hAnsi="Verdana"/>
          <w:sz w:val="20"/>
          <w:szCs w:val="20"/>
          <w:lang w:val="es-MX"/>
        </w:rPr>
      </w:pPr>
      <w:r w:rsidRPr="002D36C6">
        <w:rPr>
          <w:rFonts w:ascii="Verdana" w:hAnsi="Verdana"/>
          <w:sz w:val="20"/>
          <w:szCs w:val="20"/>
          <w:lang w:val="es-MX"/>
        </w:rPr>
        <w:t>Los hallazgos empíricos, sin embargo, revelan un panorama complejo y matizado, donde el efecto de la pandemia varía sustancialmente según el tipo de delito. Una línea de investigación consolidada documenta una caída general en los delitos contra la propiedad que dependen de la concurrencia pública y la movilidad, como robos (</w:t>
      </w:r>
      <w:proofErr w:type="spellStart"/>
      <w:r w:rsidRPr="002D36C6">
        <w:rPr>
          <w:rFonts w:ascii="Verdana" w:hAnsi="Verdana"/>
          <w:sz w:val="20"/>
          <w:szCs w:val="20"/>
          <w:lang w:val="es-MX"/>
        </w:rPr>
        <w:t>robbery</w:t>
      </w:r>
      <w:proofErr w:type="spellEnd"/>
      <w:r w:rsidRPr="002D36C6">
        <w:rPr>
          <w:rFonts w:ascii="Verdana" w:hAnsi="Verdana"/>
          <w:sz w:val="20"/>
          <w:szCs w:val="20"/>
          <w:lang w:val="es-MX"/>
        </w:rPr>
        <w:t>), hurtos (</w:t>
      </w:r>
      <w:proofErr w:type="spellStart"/>
      <w:r w:rsidRPr="002D36C6">
        <w:rPr>
          <w:rFonts w:ascii="Verdana" w:hAnsi="Verdana"/>
          <w:sz w:val="20"/>
          <w:szCs w:val="20"/>
          <w:lang w:val="es-MX"/>
        </w:rPr>
        <w:t>larceny</w:t>
      </w:r>
      <w:proofErr w:type="spellEnd"/>
      <w:r w:rsidRPr="002D36C6">
        <w:rPr>
          <w:rFonts w:ascii="Verdana" w:hAnsi="Verdana"/>
          <w:sz w:val="20"/>
          <w:szCs w:val="20"/>
          <w:lang w:val="es-MX"/>
        </w:rPr>
        <w:t xml:space="preserve">) y robos desde vehículos (Ashby, 2020; Meyer et al., 2023; </w:t>
      </w:r>
      <w:proofErr w:type="spellStart"/>
      <w:r w:rsidRPr="002D36C6">
        <w:rPr>
          <w:rFonts w:ascii="Verdana" w:hAnsi="Verdana"/>
          <w:sz w:val="20"/>
          <w:szCs w:val="20"/>
          <w:lang w:val="es-MX"/>
        </w:rPr>
        <w:t>Seyidoglu</w:t>
      </w:r>
      <w:proofErr w:type="spellEnd"/>
      <w:r w:rsidRPr="002D36C6">
        <w:rPr>
          <w:rFonts w:ascii="Verdana" w:hAnsi="Verdana"/>
          <w:sz w:val="20"/>
          <w:szCs w:val="20"/>
          <w:lang w:val="es-MX"/>
        </w:rPr>
        <w:t xml:space="preserve"> et al., 2024). Esta reducción se atribuye directamente a la menor interacción social y a la permanencia de potenciales víctimas en sus hogares, que actuaron como guardianes de sus propiedades (Ashby, 2020). No obstante, se observan excepciones: el hurto en tiendas (</w:t>
      </w:r>
      <w:proofErr w:type="spellStart"/>
      <w:r w:rsidRPr="002D36C6">
        <w:rPr>
          <w:rFonts w:ascii="Verdana" w:hAnsi="Verdana"/>
          <w:sz w:val="20"/>
          <w:szCs w:val="20"/>
          <w:lang w:val="es-MX"/>
        </w:rPr>
        <w:t>shoplifting</w:t>
      </w:r>
      <w:proofErr w:type="spellEnd"/>
      <w:r w:rsidRPr="002D36C6">
        <w:rPr>
          <w:rFonts w:ascii="Verdana" w:hAnsi="Verdana"/>
          <w:sz w:val="20"/>
          <w:szCs w:val="20"/>
          <w:lang w:val="es-MX"/>
        </w:rPr>
        <w:t>) mostró tendencias al alza en contextos de reapertura o por la reducción de vigilancia en comercios (</w:t>
      </w:r>
      <w:proofErr w:type="spellStart"/>
      <w:r w:rsidRPr="002D36C6">
        <w:rPr>
          <w:rFonts w:ascii="Verdana" w:hAnsi="Verdana"/>
          <w:sz w:val="20"/>
          <w:szCs w:val="20"/>
          <w:lang w:val="es-MX"/>
        </w:rPr>
        <w:t>Seyidoglu</w:t>
      </w:r>
      <w:proofErr w:type="spellEnd"/>
      <w:r w:rsidRPr="002D36C6">
        <w:rPr>
          <w:rFonts w:ascii="Verdana" w:hAnsi="Verdana"/>
          <w:sz w:val="20"/>
          <w:szCs w:val="20"/>
          <w:lang w:val="es-MX"/>
        </w:rPr>
        <w:t xml:space="preserve"> et al., 2024; </w:t>
      </w:r>
      <w:r w:rsidR="00360196" w:rsidRPr="00360196">
        <w:rPr>
          <w:rFonts w:ascii="Verdana" w:hAnsi="Verdana"/>
          <w:sz w:val="20"/>
          <w:szCs w:val="20"/>
          <w:lang w:val="es-MX"/>
        </w:rPr>
        <w:t>Regalado, Timmer y Jawaid, 2022</w:t>
      </w:r>
      <w:r w:rsidRPr="002D36C6">
        <w:rPr>
          <w:rFonts w:ascii="Verdana" w:hAnsi="Verdana"/>
          <w:sz w:val="20"/>
          <w:szCs w:val="20"/>
          <w:lang w:val="es-MX"/>
        </w:rPr>
        <w:t xml:space="preserve">), mientras el robo de vehículos (auto </w:t>
      </w:r>
      <w:proofErr w:type="spellStart"/>
      <w:r w:rsidRPr="002D36C6">
        <w:rPr>
          <w:rFonts w:ascii="Verdana" w:hAnsi="Verdana"/>
          <w:sz w:val="20"/>
          <w:szCs w:val="20"/>
          <w:lang w:val="es-MX"/>
        </w:rPr>
        <w:t>theft</w:t>
      </w:r>
      <w:proofErr w:type="spellEnd"/>
      <w:r w:rsidRPr="002D36C6">
        <w:rPr>
          <w:rFonts w:ascii="Verdana" w:hAnsi="Verdana"/>
          <w:sz w:val="20"/>
          <w:szCs w:val="20"/>
          <w:lang w:val="es-MX"/>
        </w:rPr>
        <w:t>) exhibió incrementos significativos en varias ciudades estadounidenses durante 2020 (Meyer et al., 2023; Rosenfeld, Abt y López, 2021), un patrón no completamente explicado por el marco de las actividades rutinarias.</w:t>
      </w:r>
    </w:p>
    <w:p w14:paraId="5074F081" w14:textId="09C623F7" w:rsidR="00A3093B" w:rsidRPr="002D36C6" w:rsidRDefault="00A3093B" w:rsidP="002D36C6">
      <w:pPr>
        <w:spacing w:before="120" w:after="120"/>
        <w:jc w:val="both"/>
        <w:rPr>
          <w:rFonts w:ascii="Verdana" w:hAnsi="Verdana"/>
          <w:sz w:val="20"/>
          <w:szCs w:val="20"/>
          <w:lang w:val="es-MX"/>
        </w:rPr>
      </w:pPr>
      <w:r w:rsidRPr="002D36C6">
        <w:rPr>
          <w:rFonts w:ascii="Verdana" w:hAnsi="Verdana"/>
          <w:sz w:val="20"/>
          <w:szCs w:val="20"/>
          <w:lang w:val="es-MX"/>
        </w:rPr>
        <w:t>Respecto a los delitos violentos, la evidencia es particularmente diversa y sensible al contexto. Contrario a las predicciones iniciales, no se halló un aumento sistemático de la violencia doméstica o las agresiones graves en residencias en los primeros meses de la pandemia en EE.UU. (Ashby, 2020). Sin embargo, otros estudios señalan un aumento de la violencia interpersonal y de pareja, atribuible a las tensiones del confinamiento (</w:t>
      </w:r>
      <w:proofErr w:type="spellStart"/>
      <w:r w:rsidRPr="002D36C6">
        <w:rPr>
          <w:rFonts w:ascii="Verdana" w:hAnsi="Verdana"/>
          <w:sz w:val="20"/>
          <w:szCs w:val="20"/>
          <w:lang w:val="es-MX"/>
        </w:rPr>
        <w:t>Boman</w:t>
      </w:r>
      <w:proofErr w:type="spellEnd"/>
      <w:r w:rsidRPr="002D36C6">
        <w:rPr>
          <w:rFonts w:ascii="Verdana" w:hAnsi="Verdana"/>
          <w:sz w:val="20"/>
          <w:szCs w:val="20"/>
          <w:lang w:val="es-MX"/>
        </w:rPr>
        <w:t xml:space="preserve"> y </w:t>
      </w:r>
      <w:proofErr w:type="spellStart"/>
      <w:r w:rsidRPr="002D36C6">
        <w:rPr>
          <w:rFonts w:ascii="Verdana" w:hAnsi="Verdana"/>
          <w:sz w:val="20"/>
          <w:szCs w:val="20"/>
          <w:lang w:val="es-MX"/>
        </w:rPr>
        <w:t>Gallupe</w:t>
      </w:r>
      <w:proofErr w:type="spellEnd"/>
      <w:r w:rsidRPr="002D36C6">
        <w:rPr>
          <w:rFonts w:ascii="Verdana" w:hAnsi="Verdana"/>
          <w:sz w:val="20"/>
          <w:szCs w:val="20"/>
          <w:lang w:val="es-MX"/>
        </w:rPr>
        <w:t xml:space="preserve">, 2020; </w:t>
      </w:r>
      <w:r w:rsidR="00360196" w:rsidRPr="00360196">
        <w:rPr>
          <w:rFonts w:ascii="Verdana" w:hAnsi="Verdana"/>
          <w:sz w:val="20"/>
          <w:szCs w:val="20"/>
          <w:lang w:val="es-MX"/>
        </w:rPr>
        <w:t xml:space="preserve">Regalado, </w:t>
      </w:r>
      <w:proofErr w:type="spellStart"/>
      <w:r w:rsidR="00360196" w:rsidRPr="00360196">
        <w:rPr>
          <w:rFonts w:ascii="Verdana" w:hAnsi="Verdana"/>
          <w:sz w:val="20"/>
          <w:szCs w:val="20"/>
          <w:lang w:val="es-MX"/>
        </w:rPr>
        <w:t>Timmer</w:t>
      </w:r>
      <w:proofErr w:type="spellEnd"/>
      <w:r w:rsidR="00360196" w:rsidRPr="00360196">
        <w:rPr>
          <w:rFonts w:ascii="Verdana" w:hAnsi="Verdana"/>
          <w:sz w:val="20"/>
          <w:szCs w:val="20"/>
          <w:lang w:val="es-MX"/>
        </w:rPr>
        <w:t xml:space="preserve"> y Jawaid, 2022</w:t>
      </w:r>
      <w:r w:rsidRPr="002D36C6">
        <w:rPr>
          <w:rFonts w:ascii="Verdana" w:hAnsi="Verdana"/>
          <w:sz w:val="20"/>
          <w:szCs w:val="20"/>
          <w:lang w:val="es-MX"/>
        </w:rPr>
        <w:t>). El caso más robusto es el del homicidio, que experimentó un aumento histórico y agudo (30%) en ciudades estadounidenses durante 2020 (</w:t>
      </w:r>
      <w:r w:rsidR="00360196" w:rsidRPr="00360196">
        <w:rPr>
          <w:rFonts w:ascii="Verdana" w:hAnsi="Verdana"/>
          <w:sz w:val="20"/>
          <w:szCs w:val="20"/>
          <w:lang w:val="es-MX"/>
        </w:rPr>
        <w:t>Rosenfeld, Abt y López, 2021</w:t>
      </w:r>
      <w:r w:rsidRPr="002D36C6">
        <w:rPr>
          <w:rFonts w:ascii="Verdana" w:hAnsi="Verdana"/>
          <w:sz w:val="20"/>
          <w:szCs w:val="20"/>
          <w:lang w:val="es-MX"/>
        </w:rPr>
        <w:t>; Meyer et al., 2023). Este repunte, iniciado incluso antes de los confinamientos estrictos, desafía una explicación unicausal y sugiere la confluencia de factores de tensión social, deslegitimación institucional y cambios en los comportamientos policiales.</w:t>
      </w:r>
    </w:p>
    <w:p w14:paraId="51618662" w14:textId="03D81AAB" w:rsidR="00A3093B" w:rsidRPr="002D36C6" w:rsidRDefault="00A3093B" w:rsidP="002D36C6">
      <w:pPr>
        <w:spacing w:before="120" w:after="120"/>
        <w:jc w:val="both"/>
        <w:rPr>
          <w:rFonts w:ascii="Verdana" w:hAnsi="Verdana"/>
          <w:sz w:val="20"/>
          <w:szCs w:val="20"/>
          <w:lang w:val="es-MX"/>
        </w:rPr>
      </w:pPr>
      <w:r w:rsidRPr="002D36C6">
        <w:rPr>
          <w:rFonts w:ascii="Verdana" w:hAnsi="Verdana"/>
          <w:sz w:val="20"/>
          <w:szCs w:val="20"/>
          <w:lang w:val="es-MX"/>
        </w:rPr>
        <w:t>La dimensión espacial y la persistencia de los cambios son aspectos cruciales. Investigaciones con diseños longitudinales demuestran que las tasas delictivas fluctuaron en estrecha correlación con los niveles de movilidad y restricción (</w:t>
      </w:r>
      <w:proofErr w:type="spellStart"/>
      <w:r w:rsidRPr="002D36C6">
        <w:rPr>
          <w:rFonts w:ascii="Verdana" w:hAnsi="Verdana"/>
          <w:sz w:val="20"/>
          <w:szCs w:val="20"/>
          <w:lang w:val="es-MX"/>
        </w:rPr>
        <w:t>Seyidoglu</w:t>
      </w:r>
      <w:proofErr w:type="spellEnd"/>
      <w:r w:rsidRPr="002D36C6">
        <w:rPr>
          <w:rFonts w:ascii="Verdana" w:hAnsi="Verdana"/>
          <w:sz w:val="20"/>
          <w:szCs w:val="20"/>
          <w:lang w:val="es-MX"/>
        </w:rPr>
        <w:t xml:space="preserve"> et al., 2024; Meyer et al., 2023). Además, se identifica que los cambios inducidos por la pandemia no fueron meramente transitorios. En Inglaterra y Gales, por ejemplo, varios delitos (como el robo con allanamiento y la violencia) permanecieron significativamente por debajo de los niveles esperados incluso después de recuperada la movilidad, lo que se vincula a cambios duraderos en estilos de vida, como la adopción del teletrabajo (</w:t>
      </w:r>
      <w:proofErr w:type="spellStart"/>
      <w:r w:rsidRPr="002D36C6">
        <w:rPr>
          <w:rFonts w:ascii="Verdana" w:hAnsi="Verdana"/>
          <w:sz w:val="20"/>
          <w:szCs w:val="20"/>
          <w:lang w:val="es-MX"/>
        </w:rPr>
        <w:t>Seyidoglu</w:t>
      </w:r>
      <w:proofErr w:type="spellEnd"/>
      <w:r w:rsidRPr="002D36C6">
        <w:rPr>
          <w:rFonts w:ascii="Verdana" w:hAnsi="Verdana"/>
          <w:sz w:val="20"/>
          <w:szCs w:val="20"/>
          <w:lang w:val="es-MX"/>
        </w:rPr>
        <w:t xml:space="preserve"> et al., 2024). A escala macro, estudios en China confirman que, si bien la pandemia redujo la oportunidad delictiva, la distribución espacial del delito se mantuvo </w:t>
      </w:r>
      <w:r w:rsidRPr="002D36C6">
        <w:rPr>
          <w:rFonts w:ascii="Verdana" w:hAnsi="Verdana"/>
          <w:sz w:val="20"/>
          <w:szCs w:val="20"/>
          <w:lang w:val="es-MX"/>
        </w:rPr>
        <w:lastRenderedPageBreak/>
        <w:t>anclada a factores estructurales como la vitalidad económica urbana y la densidad demográfica (Zheng et al., 2025).</w:t>
      </w:r>
    </w:p>
    <w:p w14:paraId="6D0E1807" w14:textId="1668FA91" w:rsidR="00A3093B" w:rsidRPr="002D36C6" w:rsidRDefault="00A3093B" w:rsidP="002D36C6">
      <w:pPr>
        <w:spacing w:before="120" w:after="120"/>
        <w:jc w:val="both"/>
        <w:rPr>
          <w:rFonts w:ascii="Verdana" w:hAnsi="Verdana"/>
          <w:sz w:val="20"/>
          <w:szCs w:val="20"/>
          <w:lang w:val="es-MX"/>
        </w:rPr>
      </w:pPr>
      <w:r w:rsidRPr="002D36C6">
        <w:rPr>
          <w:rFonts w:ascii="Verdana" w:hAnsi="Verdana"/>
          <w:sz w:val="20"/>
          <w:szCs w:val="20"/>
          <w:lang w:val="es-MX"/>
        </w:rPr>
        <w:t xml:space="preserve">En el ámbito de las manifestaciones y disturbios sociales, la literatura explora su vínculo con las tendencias criminales desde perspectivas complementarias. Por un lado, estudios enmarcados en la economía del crimen analizan el efecto disuasorio de sanciones severas aplicadas tras disturbios, como los de Londres en 2011, hallando evidencia de una reducción posterior en los delitos típicos de la protesta (ej., vandalismo, robos en disturbios), pero también de un posible desplazamiento funcional hacia otros crímenes con sanciones percibidas como menos severas (Bell, </w:t>
      </w:r>
      <w:proofErr w:type="spellStart"/>
      <w:r w:rsidRPr="002D36C6">
        <w:rPr>
          <w:rFonts w:ascii="Verdana" w:hAnsi="Verdana"/>
          <w:sz w:val="20"/>
          <w:szCs w:val="20"/>
          <w:lang w:val="es-MX"/>
        </w:rPr>
        <w:t>Jaitman</w:t>
      </w:r>
      <w:proofErr w:type="spellEnd"/>
      <w:r w:rsidRPr="002D36C6">
        <w:rPr>
          <w:rFonts w:ascii="Verdana" w:hAnsi="Verdana"/>
          <w:sz w:val="20"/>
          <w:szCs w:val="20"/>
          <w:lang w:val="es-MX"/>
        </w:rPr>
        <w:t xml:space="preserve"> y </w:t>
      </w:r>
      <w:proofErr w:type="spellStart"/>
      <w:r w:rsidRPr="002D36C6">
        <w:rPr>
          <w:rFonts w:ascii="Verdana" w:hAnsi="Verdana"/>
          <w:sz w:val="20"/>
          <w:szCs w:val="20"/>
          <w:lang w:val="es-MX"/>
        </w:rPr>
        <w:t>Machin</w:t>
      </w:r>
      <w:proofErr w:type="spellEnd"/>
      <w:r w:rsidRPr="002D36C6">
        <w:rPr>
          <w:rFonts w:ascii="Verdana" w:hAnsi="Verdana"/>
          <w:sz w:val="20"/>
          <w:szCs w:val="20"/>
          <w:lang w:val="es-MX"/>
        </w:rPr>
        <w:t>, 2014). Por otro lado, investigaciones cualitativas sobre disturbios, como los de Sudáfrica en 2021, enfatizan el rol de los agravios socioeconómicos preexistentes (pobreza, desigualdad, desempleo) exacerbados por un evento catalizador (como una detención política o una crisis sanitaria), que crean un caldo de cultivo donde la protesta política deriva en violencia criminal y saqueos oportunistas (Mongale, 2022). En el caso estadounidense de 2020, se postula que las protestas por la muerte de George Floyd pudieron contribuir al repunte homicida del verano a través de mecanismos de “</w:t>
      </w:r>
      <w:proofErr w:type="spellStart"/>
      <w:r w:rsidRPr="002D36C6">
        <w:rPr>
          <w:rFonts w:ascii="Verdana" w:hAnsi="Verdana"/>
          <w:sz w:val="20"/>
          <w:szCs w:val="20"/>
          <w:lang w:val="es-MX"/>
        </w:rPr>
        <w:t>despolicialización</w:t>
      </w:r>
      <w:proofErr w:type="spellEnd"/>
      <w:r w:rsidRPr="002D36C6">
        <w:rPr>
          <w:rFonts w:ascii="Verdana" w:hAnsi="Verdana"/>
          <w:sz w:val="20"/>
          <w:szCs w:val="20"/>
          <w:lang w:val="es-MX"/>
        </w:rPr>
        <w:t>” (retraimiento policial proactivo) y deslegitimación de la autoridad, que afectarían la capacidad de control social informal (</w:t>
      </w:r>
      <w:r w:rsidR="00360196" w:rsidRPr="00360196">
        <w:rPr>
          <w:rFonts w:ascii="Verdana" w:hAnsi="Verdana"/>
          <w:sz w:val="20"/>
          <w:szCs w:val="20"/>
          <w:lang w:val="es-MX"/>
        </w:rPr>
        <w:t>Rosenfeld, Abt y López, 2021</w:t>
      </w:r>
      <w:r w:rsidRPr="002D36C6">
        <w:rPr>
          <w:rFonts w:ascii="Verdana" w:hAnsi="Verdana"/>
          <w:sz w:val="20"/>
          <w:szCs w:val="20"/>
          <w:lang w:val="es-MX"/>
        </w:rPr>
        <w:t>). Cabe destacar que algunos análisis cuestionan la causalidad directa, señalando que la tendencia alcista en homicidios precedía a las manifestaciones (Meyer et al., 2023).</w:t>
      </w:r>
    </w:p>
    <w:p w14:paraId="17B4F8FE" w14:textId="50BCAB6B" w:rsidR="00DE0C8D" w:rsidRPr="002D36C6" w:rsidRDefault="00A3093B" w:rsidP="002D36C6">
      <w:pPr>
        <w:spacing w:before="120" w:after="120"/>
        <w:jc w:val="both"/>
        <w:rPr>
          <w:rFonts w:ascii="Verdana" w:hAnsi="Verdana"/>
          <w:sz w:val="20"/>
          <w:szCs w:val="20"/>
          <w:lang w:val="es-MX"/>
        </w:rPr>
      </w:pPr>
      <w:r w:rsidRPr="002D36C6">
        <w:rPr>
          <w:rFonts w:ascii="Verdana" w:hAnsi="Verdana"/>
          <w:sz w:val="20"/>
          <w:szCs w:val="20"/>
          <w:lang w:val="es-MX"/>
        </w:rPr>
        <w:t>Como cierre de esta sección, es posible identificar consensos y vacíos en la literatura revisada. Existe un consenso teórico en que los marcos centrados en la oportunidad –particularmente la Teoría de las Actividades Rutinarias– son instrumentos válidos para analizar cambios delictivos abruptos generados por shocks externos. Asimismo, hay acuerdo en que el impacto es heterogéneo, diferenciándose claramente entre categorías delictivas (delitos contra la propiedad vs. violencia interpersonal) y siendo moderado por contextos locales específicos. Sin embargo, persisten tensiones y vacíos significativos. Primero, la literatura se concentra abrumadoramente en el Global North (EE.UU., Reino Unido, China), ofreciendo escasa evidencia sistemática para América Latina y, específicamente, para Chile. Segundo, la interacción entre el impacto prolongado de la pandemia y el estallido de amplias movilizaciones sociales –una conjunción vivida en Chile a partir de octubre de 2019 y durante la pandemia– constituye un terreno analítico poco explorado. Tercero, existe una tensión entre las explicaciones puramente oportunistas (ambientales) y aquellas que incorporan dimensiones de tensión social y deslegitimación institucional para explicar el aumento de la violencia letal. Estos vacíos justifican la relevancia de estudiar el caso chileno en el período 2013-2025, ya que este contexto permite examinar cómo se articulan, superponen y potencian mutuamente dos shocks de naturaleza distinta –una crisis de legitimidad político-social y una crisis sanitaria global– en la reconfiguración de las tendencias y patrones delictivos a nivel nacional y local.</w:t>
      </w:r>
    </w:p>
    <w:p w14:paraId="45F1C3F7" w14:textId="3AA51813" w:rsidR="00DE0C8D" w:rsidRPr="002D36C6" w:rsidRDefault="00DE0C8D" w:rsidP="002D36C6">
      <w:pPr>
        <w:pStyle w:val="Ttulo2"/>
        <w:spacing w:before="120" w:after="120"/>
        <w:jc w:val="both"/>
        <w:rPr>
          <w:rFonts w:ascii="Verdana" w:hAnsi="Verdana"/>
          <w:b/>
          <w:bCs/>
          <w:i/>
          <w:iCs/>
          <w:sz w:val="20"/>
          <w:szCs w:val="20"/>
          <w:lang w:val="es-MX"/>
        </w:rPr>
      </w:pPr>
      <w:r w:rsidRPr="002D36C6">
        <w:rPr>
          <w:rFonts w:ascii="Verdana" w:hAnsi="Verdana"/>
          <w:b/>
          <w:bCs/>
          <w:i/>
          <w:iCs/>
          <w:sz w:val="20"/>
          <w:szCs w:val="20"/>
          <w:lang w:val="es-MX"/>
        </w:rPr>
        <w:t>La delincuencia en el contexto de Chile</w:t>
      </w:r>
    </w:p>
    <w:p w14:paraId="528071DB" w14:textId="280A22FC" w:rsidR="002D36C6" w:rsidRPr="002D36C6" w:rsidRDefault="002D36C6" w:rsidP="002D36C6">
      <w:pPr>
        <w:spacing w:before="120" w:after="120"/>
        <w:jc w:val="both"/>
        <w:rPr>
          <w:rFonts w:ascii="Verdana" w:hAnsi="Verdana"/>
          <w:sz w:val="20"/>
          <w:szCs w:val="20"/>
        </w:rPr>
      </w:pPr>
      <w:r w:rsidRPr="002D36C6">
        <w:rPr>
          <w:rFonts w:ascii="Verdana" w:hAnsi="Verdana"/>
          <w:sz w:val="20"/>
          <w:szCs w:val="20"/>
        </w:rPr>
        <w:t xml:space="preserve">La literatura reciente sobre la realidad delictual en Chile converge en señalar una transformación sustantiva de las tendencias criminales, caracterizada por la creciente presencia e influencia del crimen organizado transnacional (COT) y su impacto en la geografía de la violencia. Investigaciones como las de </w:t>
      </w:r>
      <w:proofErr w:type="spellStart"/>
      <w:r w:rsidRPr="002D36C6">
        <w:rPr>
          <w:rFonts w:ascii="Verdana" w:hAnsi="Verdana"/>
          <w:sz w:val="20"/>
          <w:szCs w:val="20"/>
        </w:rPr>
        <w:t>Greene</w:t>
      </w:r>
      <w:proofErr w:type="spellEnd"/>
      <w:r w:rsidRPr="002D36C6">
        <w:rPr>
          <w:rFonts w:ascii="Verdana" w:hAnsi="Verdana"/>
          <w:sz w:val="20"/>
          <w:szCs w:val="20"/>
        </w:rPr>
        <w:t xml:space="preserve">, </w:t>
      </w:r>
      <w:proofErr w:type="spellStart"/>
      <w:r w:rsidRPr="002D36C6">
        <w:rPr>
          <w:rFonts w:ascii="Verdana" w:hAnsi="Verdana"/>
          <w:sz w:val="20"/>
          <w:szCs w:val="20"/>
        </w:rPr>
        <w:t>Astraín</w:t>
      </w:r>
      <w:proofErr w:type="spellEnd"/>
      <w:r w:rsidRPr="002D36C6">
        <w:rPr>
          <w:rFonts w:ascii="Verdana" w:hAnsi="Verdana"/>
          <w:sz w:val="20"/>
          <w:szCs w:val="20"/>
        </w:rPr>
        <w:t xml:space="preserve"> y Salas (2023) y Bravo (2024) documentan esta expansión, subrayando cómo Chile ha transitado de ser una ruta de tránsito a un mercado consolidado para organizaciones criminales </w:t>
      </w:r>
      <w:r w:rsidRPr="002D36C6">
        <w:rPr>
          <w:rFonts w:ascii="Verdana" w:hAnsi="Verdana"/>
          <w:sz w:val="20"/>
          <w:szCs w:val="20"/>
        </w:rPr>
        <w:lastRenderedPageBreak/>
        <w:t xml:space="preserve">internacionales, las cuales han diversificado sus actividades hacia el narcotráfico, la trata de personas, el tráfico ilícito de migrantes y la extorsión. Este fenómeno no es homogéneo en el territorio, sino que se manifiesta con particular intensidad en espacios fronterizos y comunas específicas. Bravo (2024) identifica, para la macrozona norte, una sinergia operativa donde las rutas de la migración irregular son cooptadas por el narcotráfico, facilitando la entrada de drogas y explotando la vulnerabilidad de los migrantes. Paralelamente, Dammert, Frey y González (2025), aplicando la teoría de los equilibrios de violencia criminal, demuestran que dentro de regiones con equilibrios generales de baja criminalidad, como la Metropolitana, se consolidan enclaves de alta violencia—un clúster de comunas </w:t>
      </w:r>
      <w:proofErr w:type="spellStart"/>
      <w:r w:rsidRPr="002D36C6">
        <w:rPr>
          <w:rFonts w:ascii="Verdana" w:hAnsi="Verdana"/>
          <w:sz w:val="20"/>
          <w:szCs w:val="20"/>
        </w:rPr>
        <w:t>pericentrales</w:t>
      </w:r>
      <w:proofErr w:type="spellEnd"/>
      <w:r w:rsidRPr="002D36C6">
        <w:rPr>
          <w:rFonts w:ascii="Verdana" w:hAnsi="Verdana"/>
          <w:sz w:val="20"/>
          <w:szCs w:val="20"/>
        </w:rPr>
        <w:t>—donde la concentración de homicidios, secuestros y extorsiones señala la existencia de territorios controlados por el crimen organizado.</w:t>
      </w:r>
    </w:p>
    <w:p w14:paraId="249CC2AA" w14:textId="2B4A83CE" w:rsidR="002D36C6" w:rsidRPr="002D36C6" w:rsidRDefault="002D36C6" w:rsidP="002D36C6">
      <w:pPr>
        <w:spacing w:before="120" w:after="120"/>
        <w:jc w:val="both"/>
        <w:rPr>
          <w:rFonts w:ascii="Verdana" w:hAnsi="Verdana"/>
          <w:sz w:val="20"/>
          <w:szCs w:val="20"/>
        </w:rPr>
      </w:pPr>
      <w:r w:rsidRPr="002D36C6">
        <w:rPr>
          <w:rFonts w:ascii="Verdana" w:hAnsi="Verdana"/>
          <w:sz w:val="20"/>
          <w:szCs w:val="20"/>
        </w:rPr>
        <w:t xml:space="preserve">Esta mutación delictiva se refleja en los datos oficiales de delitos de mayor connotación social. El análisis longitudinal de Crespo y Lay (2023) confirma un punto de inflexión en 2022, con aumentos significativos en las tasas de homicidios, abusos sexuales y robos con violencia a nivel nacional, siendo el Norte Grande (Arica y Parinacota, Tarapacá) una zona de especial preocupación por el crecimiento simultáneo de estos delitos. La morfología misma de la violencia ha cambiado, con un incremento sostenido en el uso de armas de fuego y en la proporción de autores desconocidos, factores que la literatura asocia a una progresiva racionalización instrumental del crimen más allá de la riña interpersonal (Dammert et al., 2025; Domínguez, Duce &amp; </w:t>
      </w:r>
      <w:proofErr w:type="spellStart"/>
      <w:r w:rsidRPr="002D36C6">
        <w:rPr>
          <w:rFonts w:ascii="Verdana" w:hAnsi="Verdana"/>
          <w:sz w:val="20"/>
          <w:szCs w:val="20"/>
        </w:rPr>
        <w:t>Fugellie</w:t>
      </w:r>
      <w:proofErr w:type="spellEnd"/>
      <w:r w:rsidRPr="002D36C6">
        <w:rPr>
          <w:rFonts w:ascii="Verdana" w:hAnsi="Verdana"/>
          <w:sz w:val="20"/>
          <w:szCs w:val="20"/>
        </w:rPr>
        <w:t xml:space="preserve">, 2024). No obstante, es crucial matizar esta narrativa. </w:t>
      </w:r>
      <w:r w:rsidR="00B055EF" w:rsidRPr="00B055EF">
        <w:rPr>
          <w:rFonts w:ascii="Verdana" w:hAnsi="Verdana"/>
          <w:sz w:val="20"/>
          <w:szCs w:val="20"/>
        </w:rPr>
        <w:t xml:space="preserve">Domínguez, Duce &amp; </w:t>
      </w:r>
      <w:proofErr w:type="spellStart"/>
      <w:r w:rsidR="00B055EF" w:rsidRPr="00B055EF">
        <w:rPr>
          <w:rFonts w:ascii="Verdana" w:hAnsi="Verdana"/>
          <w:sz w:val="20"/>
          <w:szCs w:val="20"/>
        </w:rPr>
        <w:t>Fugellie</w:t>
      </w:r>
      <w:proofErr w:type="spellEnd"/>
      <w:r w:rsidR="00B055EF">
        <w:rPr>
          <w:rFonts w:ascii="Verdana" w:hAnsi="Verdana"/>
          <w:sz w:val="20"/>
          <w:szCs w:val="20"/>
        </w:rPr>
        <w:t xml:space="preserve"> </w:t>
      </w:r>
      <w:r w:rsidRPr="002D36C6">
        <w:rPr>
          <w:rFonts w:ascii="Verdana" w:hAnsi="Verdana"/>
          <w:sz w:val="20"/>
          <w:szCs w:val="20"/>
        </w:rPr>
        <w:t>(2024) advierten que, pese al pico histórico de homicidios en 2022, solo una minoría de estos casos (alrededor del 17-18%) es oficialmente vinculada al crimen organizado, mientras fenómenos como el secuestro muestran una asociación más clara y creciente con estas estructuras.</w:t>
      </w:r>
    </w:p>
    <w:p w14:paraId="2CE4C103" w14:textId="7C9A07C5" w:rsidR="002D36C6" w:rsidRPr="002D36C6" w:rsidRDefault="002D36C6" w:rsidP="002D36C6">
      <w:pPr>
        <w:spacing w:before="120" w:after="120"/>
        <w:jc w:val="both"/>
        <w:rPr>
          <w:rFonts w:ascii="Verdana" w:hAnsi="Verdana"/>
          <w:sz w:val="20"/>
          <w:szCs w:val="20"/>
        </w:rPr>
      </w:pPr>
      <w:r w:rsidRPr="002D36C6">
        <w:rPr>
          <w:rFonts w:ascii="Verdana" w:hAnsi="Verdana"/>
          <w:sz w:val="20"/>
          <w:szCs w:val="20"/>
        </w:rPr>
        <w:t>Frente a esta evolución objetiva, emerge una compleja dinámica subjetiva y social. Por un lado, la percepción de inseguridad se mantiene en niveles extraordinariamente elevados y desconectados de ciertas tendencias objetivas, como una tasa de victimización que se ha estabilizado en rangos bajos históricos (</w:t>
      </w:r>
      <w:r w:rsidR="00B055EF" w:rsidRPr="00B055EF">
        <w:rPr>
          <w:rFonts w:ascii="Verdana" w:hAnsi="Verdana"/>
          <w:sz w:val="20"/>
          <w:szCs w:val="20"/>
        </w:rPr>
        <w:t xml:space="preserve">Domínguez, Duce &amp; </w:t>
      </w:r>
      <w:proofErr w:type="spellStart"/>
      <w:r w:rsidR="00B055EF" w:rsidRPr="00B055EF">
        <w:rPr>
          <w:rFonts w:ascii="Verdana" w:hAnsi="Verdana"/>
          <w:sz w:val="20"/>
          <w:szCs w:val="20"/>
        </w:rPr>
        <w:t>Fugellie</w:t>
      </w:r>
      <w:proofErr w:type="spellEnd"/>
      <w:r w:rsidR="00B055EF">
        <w:rPr>
          <w:rFonts w:ascii="Verdana" w:hAnsi="Verdana"/>
          <w:sz w:val="20"/>
          <w:szCs w:val="20"/>
        </w:rPr>
        <w:t xml:space="preserve">, </w:t>
      </w:r>
      <w:r w:rsidRPr="002D36C6">
        <w:rPr>
          <w:rFonts w:ascii="Verdana" w:hAnsi="Verdana"/>
          <w:sz w:val="20"/>
          <w:szCs w:val="20"/>
        </w:rPr>
        <w:t xml:space="preserve">2024). Por otro lado, estudios como los de Gamarra et al. (2024a, 2024b) revelan que esta paradoja se sustenta en parte en una “cifra oscura” masiva (68% de </w:t>
      </w:r>
      <w:proofErr w:type="spellStart"/>
      <w:r w:rsidRPr="002D36C6">
        <w:rPr>
          <w:rFonts w:ascii="Verdana" w:hAnsi="Verdana"/>
          <w:sz w:val="20"/>
          <w:szCs w:val="20"/>
        </w:rPr>
        <w:t>subreporte</w:t>
      </w:r>
      <w:proofErr w:type="spellEnd"/>
      <w:r w:rsidRPr="002D36C6">
        <w:rPr>
          <w:rFonts w:ascii="Verdana" w:hAnsi="Verdana"/>
          <w:sz w:val="20"/>
          <w:szCs w:val="20"/>
        </w:rPr>
        <w:t>), que internaliza el peligro delictivo como un riesgo manejado individualmente, normalizando el crimen y erosionando la confianza en las instituciones policiales y judiciales. Esta desconfianza es particularmente aguda en las comunas que concentran los delitos violentos, según los análisis clúster que identifican una marcada heterogeneidad territorial (Gamarra et al., 2024b). La asociación entre migración y delincuencia, otra dimensión de la percepción social, encuentra un eco ambiguo en los datos. Ugarte y Vergara (2023) muestran que, si bien la población extranjera permanece subrepresentada en el total de condenas, su participación relativa en delitos violentos como homicidios y robos ha aumentado, llegando a una sobrerrepresentación en los homicidios para 2022, lo que alimenta y complejiza la narrativa pública.</w:t>
      </w:r>
    </w:p>
    <w:p w14:paraId="5ECD4DFB" w14:textId="77777777" w:rsidR="002D36C6" w:rsidRPr="002D36C6" w:rsidRDefault="002D36C6" w:rsidP="002D36C6">
      <w:pPr>
        <w:spacing w:before="120" w:after="120"/>
        <w:jc w:val="both"/>
        <w:rPr>
          <w:rFonts w:ascii="Verdana" w:hAnsi="Verdana"/>
          <w:sz w:val="20"/>
          <w:szCs w:val="20"/>
        </w:rPr>
      </w:pPr>
      <w:r w:rsidRPr="002D36C6">
        <w:rPr>
          <w:rFonts w:ascii="Verdana" w:hAnsi="Verdana"/>
          <w:sz w:val="20"/>
          <w:szCs w:val="20"/>
        </w:rPr>
        <w:t xml:space="preserve">La dimensión territorial del conflicto y la violencia exhibe, además, particularidades regionales que desafían explicaciones unívocas. En la Macrozona Sur, el estudio de Izquierdo, Mascareño y Rozas (2024) deconstruye la narrativa hegemónica del “conflicto mapuche”, demostrando que tras ella subyacen problemas socioeconómicos estructurales compartidos por poblaciones mapuche y no mapuche, y que la asociación entre violencia y reivindicación étnica es espacialmente variable. La respuesta estatal a esta violencia, analizada por </w:t>
      </w:r>
      <w:proofErr w:type="spellStart"/>
      <w:r w:rsidRPr="002D36C6">
        <w:rPr>
          <w:rFonts w:ascii="Verdana" w:hAnsi="Verdana"/>
          <w:sz w:val="20"/>
          <w:szCs w:val="20"/>
        </w:rPr>
        <w:t>Urquízar</w:t>
      </w:r>
      <w:proofErr w:type="spellEnd"/>
      <w:r w:rsidRPr="002D36C6">
        <w:rPr>
          <w:rFonts w:ascii="Verdana" w:hAnsi="Verdana"/>
          <w:sz w:val="20"/>
          <w:szCs w:val="20"/>
        </w:rPr>
        <w:t xml:space="preserve"> y Abrigo (2025) a través del Estado de Emergencia </w:t>
      </w:r>
      <w:r w:rsidRPr="002D36C6">
        <w:rPr>
          <w:rFonts w:ascii="Verdana" w:hAnsi="Verdana"/>
          <w:sz w:val="20"/>
          <w:szCs w:val="20"/>
        </w:rPr>
        <w:lastRenderedPageBreak/>
        <w:t>constitucional, logró reducir significativamente indicadores como homicidios y usurpaciones en las provincias intervenidas, pero también evidenció el desplazamiento de la actividad criminal y la adaptabilidad de los grupos radicalizados, planteando dudas sobre la sostenibilidad de medidas puramente coercitivas.</w:t>
      </w:r>
    </w:p>
    <w:p w14:paraId="05357160" w14:textId="77777777" w:rsidR="002D36C6" w:rsidRPr="002D36C6" w:rsidRDefault="002D36C6" w:rsidP="002D36C6">
      <w:pPr>
        <w:spacing w:before="120" w:after="120"/>
        <w:jc w:val="both"/>
        <w:rPr>
          <w:rFonts w:ascii="Verdana" w:hAnsi="Verdana"/>
          <w:sz w:val="20"/>
          <w:szCs w:val="20"/>
        </w:rPr>
      </w:pPr>
      <w:r w:rsidRPr="002D36C6">
        <w:rPr>
          <w:rFonts w:ascii="Verdana" w:hAnsi="Verdana"/>
          <w:sz w:val="20"/>
          <w:szCs w:val="20"/>
        </w:rPr>
        <w:t>En síntesis, el estado del arte revela un consenso en torno a la profundización de un patrón delictivo más violento, organizado y territorialmente concentrado, que interactúa con fenómenos como la migración irregular y la debilidad del control estatal en ciertos enclaves. Sin embargo, persisten tensiones y vacíos significativos: una brecha sustantiva entre la percepción ciudadana y los datos de victimización; la falta de claridad sobre la proporción real de violencia atribuible al crimen organizado versus dinámicas interpersonales; y la insuficiente integración entre las explicaciones centradas en el norte (narcotráfico y frontera) y el sur (violencia rural y conflicto territorial). Estos vacíos, sumados a la evidencia de una respuesta estatal aún fragmentada entre lo coercitivo y lo social (Greene et al., 2023; Izquierdo et al., 2024), justifican la relevancia de estudiar el caso chileno en el período 2013-2025 como un laboratorio crítico para comprender la articulación entre tendencias criminales globales, políticas locales de seguridad y cohesión social en un contexto de transición hacia una criminalidad de mayor complejidad.</w:t>
      </w:r>
    </w:p>
    <w:p w14:paraId="17BB2E10" w14:textId="4EB2C6D4" w:rsidR="002D36C6" w:rsidRPr="002D36C6" w:rsidRDefault="002D36C6" w:rsidP="002D36C6">
      <w:pPr>
        <w:pStyle w:val="Ttulo2"/>
        <w:spacing w:before="120" w:after="120"/>
        <w:jc w:val="both"/>
        <w:rPr>
          <w:rFonts w:ascii="Verdana" w:hAnsi="Verdana"/>
          <w:b/>
          <w:bCs/>
          <w:i/>
          <w:iCs/>
          <w:sz w:val="20"/>
          <w:szCs w:val="20"/>
          <w:lang w:val="es-MX"/>
        </w:rPr>
      </w:pPr>
      <w:r w:rsidRPr="002D36C6">
        <w:rPr>
          <w:rFonts w:ascii="Verdana" w:hAnsi="Verdana"/>
          <w:b/>
          <w:bCs/>
          <w:i/>
          <w:iCs/>
          <w:sz w:val="20"/>
          <w:szCs w:val="20"/>
          <w:lang w:val="es-MX"/>
        </w:rPr>
        <w:t>Referencias</w:t>
      </w:r>
    </w:p>
    <w:p w14:paraId="1A9EDC84" w14:textId="49533835" w:rsidR="002D36C6" w:rsidRPr="00A031C0" w:rsidRDefault="00F7281D" w:rsidP="00A031C0">
      <w:pPr>
        <w:spacing w:before="120" w:after="120"/>
        <w:ind w:left="709" w:hanging="709"/>
        <w:jc w:val="both"/>
        <w:rPr>
          <w:rFonts w:ascii="Verdana" w:hAnsi="Verdana"/>
          <w:sz w:val="20"/>
          <w:szCs w:val="20"/>
        </w:rPr>
      </w:pPr>
      <w:r w:rsidRPr="00A031C0">
        <w:rPr>
          <w:rFonts w:ascii="Verdana" w:hAnsi="Verdana"/>
          <w:sz w:val="20"/>
          <w:szCs w:val="20"/>
        </w:rPr>
        <w:t xml:space="preserve">Andresen, M. A., &amp; </w:t>
      </w:r>
      <w:proofErr w:type="spellStart"/>
      <w:r w:rsidRPr="00A031C0">
        <w:rPr>
          <w:rFonts w:ascii="Verdana" w:hAnsi="Verdana"/>
          <w:sz w:val="20"/>
          <w:szCs w:val="20"/>
        </w:rPr>
        <w:t>Malleson</w:t>
      </w:r>
      <w:proofErr w:type="spellEnd"/>
      <w:r w:rsidRPr="00A031C0">
        <w:rPr>
          <w:rFonts w:ascii="Verdana" w:hAnsi="Verdana"/>
          <w:sz w:val="20"/>
          <w:szCs w:val="20"/>
        </w:rPr>
        <w:t xml:space="preserve">, N. (2013). </w:t>
      </w:r>
      <w:proofErr w:type="spellStart"/>
      <w:r w:rsidRPr="00A031C0">
        <w:rPr>
          <w:rFonts w:ascii="Verdana" w:hAnsi="Verdana"/>
          <w:sz w:val="20"/>
          <w:szCs w:val="20"/>
        </w:rPr>
        <w:t>Crime</w:t>
      </w:r>
      <w:proofErr w:type="spellEnd"/>
      <w:r w:rsidRPr="00A031C0">
        <w:rPr>
          <w:rFonts w:ascii="Verdana" w:hAnsi="Verdana"/>
          <w:sz w:val="20"/>
          <w:szCs w:val="20"/>
        </w:rPr>
        <w:t xml:space="preserve"> </w:t>
      </w:r>
      <w:proofErr w:type="spellStart"/>
      <w:r w:rsidRPr="00A031C0">
        <w:rPr>
          <w:rFonts w:ascii="Verdana" w:hAnsi="Verdana"/>
          <w:sz w:val="20"/>
          <w:szCs w:val="20"/>
        </w:rPr>
        <w:t>seasonality</w:t>
      </w:r>
      <w:proofErr w:type="spellEnd"/>
      <w:r w:rsidRPr="00A031C0">
        <w:rPr>
          <w:rFonts w:ascii="Verdana" w:hAnsi="Verdana"/>
          <w:sz w:val="20"/>
          <w:szCs w:val="20"/>
        </w:rPr>
        <w:t xml:space="preserve"> and </w:t>
      </w:r>
      <w:proofErr w:type="spellStart"/>
      <w:r w:rsidRPr="00A031C0">
        <w:rPr>
          <w:rFonts w:ascii="Verdana" w:hAnsi="Verdana"/>
          <w:sz w:val="20"/>
          <w:szCs w:val="20"/>
        </w:rPr>
        <w:t>its</w:t>
      </w:r>
      <w:proofErr w:type="spellEnd"/>
      <w:r w:rsidRPr="00A031C0">
        <w:rPr>
          <w:rFonts w:ascii="Verdana" w:hAnsi="Verdana"/>
          <w:sz w:val="20"/>
          <w:szCs w:val="20"/>
        </w:rPr>
        <w:t xml:space="preserve"> </w:t>
      </w:r>
      <w:proofErr w:type="spellStart"/>
      <w:r w:rsidRPr="00A031C0">
        <w:rPr>
          <w:rFonts w:ascii="Verdana" w:hAnsi="Verdana"/>
          <w:sz w:val="20"/>
          <w:szCs w:val="20"/>
        </w:rPr>
        <w:t>variations</w:t>
      </w:r>
      <w:proofErr w:type="spellEnd"/>
      <w:r w:rsidRPr="00A031C0">
        <w:rPr>
          <w:rFonts w:ascii="Verdana" w:hAnsi="Verdana"/>
          <w:sz w:val="20"/>
          <w:szCs w:val="20"/>
        </w:rPr>
        <w:t xml:space="preserve"> </w:t>
      </w:r>
      <w:proofErr w:type="spellStart"/>
      <w:r w:rsidRPr="00A031C0">
        <w:rPr>
          <w:rFonts w:ascii="Verdana" w:hAnsi="Verdana"/>
          <w:sz w:val="20"/>
          <w:szCs w:val="20"/>
        </w:rPr>
        <w:t>across</w:t>
      </w:r>
      <w:proofErr w:type="spellEnd"/>
      <w:r w:rsidRPr="00A031C0">
        <w:rPr>
          <w:rFonts w:ascii="Verdana" w:hAnsi="Verdana"/>
          <w:sz w:val="20"/>
          <w:szCs w:val="20"/>
        </w:rPr>
        <w:t xml:space="preserve"> </w:t>
      </w:r>
      <w:proofErr w:type="spellStart"/>
      <w:r w:rsidRPr="00A031C0">
        <w:rPr>
          <w:rFonts w:ascii="Verdana" w:hAnsi="Verdana"/>
          <w:sz w:val="20"/>
          <w:szCs w:val="20"/>
        </w:rPr>
        <w:t>space</w:t>
      </w:r>
      <w:proofErr w:type="spellEnd"/>
      <w:r w:rsidRPr="00A031C0">
        <w:rPr>
          <w:rFonts w:ascii="Verdana" w:hAnsi="Verdana"/>
          <w:sz w:val="20"/>
          <w:szCs w:val="20"/>
        </w:rPr>
        <w:t xml:space="preserve">. </w:t>
      </w:r>
      <w:proofErr w:type="spellStart"/>
      <w:r w:rsidRPr="00A031C0">
        <w:rPr>
          <w:rFonts w:ascii="Verdana" w:hAnsi="Verdana"/>
          <w:i/>
          <w:iCs/>
          <w:sz w:val="20"/>
          <w:szCs w:val="20"/>
        </w:rPr>
        <w:t>Applied</w:t>
      </w:r>
      <w:proofErr w:type="spellEnd"/>
      <w:r w:rsidRPr="00A031C0">
        <w:rPr>
          <w:rFonts w:ascii="Verdana" w:hAnsi="Verdana"/>
          <w:i/>
          <w:iCs/>
          <w:sz w:val="20"/>
          <w:szCs w:val="20"/>
        </w:rPr>
        <w:t xml:space="preserve"> </w:t>
      </w:r>
      <w:proofErr w:type="spellStart"/>
      <w:r w:rsidRPr="00A031C0">
        <w:rPr>
          <w:rFonts w:ascii="Verdana" w:hAnsi="Verdana"/>
          <w:i/>
          <w:iCs/>
          <w:sz w:val="20"/>
          <w:szCs w:val="20"/>
        </w:rPr>
        <w:t>Geography</w:t>
      </w:r>
      <w:proofErr w:type="spellEnd"/>
      <w:r w:rsidRPr="00A031C0">
        <w:rPr>
          <w:rFonts w:ascii="Verdana" w:hAnsi="Verdana"/>
          <w:sz w:val="20"/>
          <w:szCs w:val="20"/>
        </w:rPr>
        <w:t xml:space="preserve">, </w:t>
      </w:r>
      <w:r w:rsidRPr="00A031C0">
        <w:rPr>
          <w:rFonts w:ascii="Verdana" w:hAnsi="Verdana"/>
          <w:i/>
          <w:iCs/>
          <w:sz w:val="20"/>
          <w:szCs w:val="20"/>
        </w:rPr>
        <w:t>43</w:t>
      </w:r>
      <w:r w:rsidRPr="00A031C0">
        <w:rPr>
          <w:rFonts w:ascii="Verdana" w:hAnsi="Verdana"/>
          <w:sz w:val="20"/>
          <w:szCs w:val="20"/>
        </w:rPr>
        <w:t xml:space="preserve">, 25-35. </w:t>
      </w:r>
      <w:hyperlink r:id="rId8" w:history="1">
        <w:r w:rsidRPr="00A031C0">
          <w:rPr>
            <w:rStyle w:val="Hipervnculo"/>
            <w:rFonts w:ascii="Verdana" w:hAnsi="Verdana"/>
            <w:sz w:val="20"/>
            <w:szCs w:val="20"/>
          </w:rPr>
          <w:t>https://doi.org/10.1016/j.apgeog.2013.06.007</w:t>
        </w:r>
      </w:hyperlink>
    </w:p>
    <w:p w14:paraId="0C2BF8A1" w14:textId="12538DC5" w:rsidR="00F7281D" w:rsidRPr="00A031C0" w:rsidRDefault="00F7281D" w:rsidP="00A031C0">
      <w:pPr>
        <w:spacing w:before="120" w:after="120"/>
        <w:ind w:left="709" w:hanging="709"/>
        <w:jc w:val="both"/>
        <w:rPr>
          <w:rFonts w:ascii="Verdana" w:hAnsi="Verdana"/>
          <w:sz w:val="20"/>
          <w:szCs w:val="20"/>
        </w:rPr>
      </w:pPr>
      <w:proofErr w:type="spellStart"/>
      <w:r w:rsidRPr="00A031C0">
        <w:rPr>
          <w:rFonts w:ascii="Verdana" w:hAnsi="Verdana"/>
          <w:sz w:val="20"/>
          <w:szCs w:val="20"/>
        </w:rPr>
        <w:t>Appiahene-Gyamfi</w:t>
      </w:r>
      <w:proofErr w:type="spellEnd"/>
      <w:r w:rsidRPr="00A031C0">
        <w:rPr>
          <w:rFonts w:ascii="Verdana" w:hAnsi="Verdana"/>
          <w:sz w:val="20"/>
          <w:szCs w:val="20"/>
        </w:rPr>
        <w:t xml:space="preserve">, J. (2022). </w:t>
      </w:r>
      <w:proofErr w:type="spellStart"/>
      <w:r w:rsidRPr="00A031C0">
        <w:rPr>
          <w:rFonts w:ascii="Verdana" w:hAnsi="Verdana"/>
          <w:sz w:val="20"/>
          <w:szCs w:val="20"/>
        </w:rPr>
        <w:t>The</w:t>
      </w:r>
      <w:proofErr w:type="spellEnd"/>
      <w:r w:rsidRPr="00A031C0">
        <w:rPr>
          <w:rFonts w:ascii="Verdana" w:hAnsi="Verdana"/>
          <w:sz w:val="20"/>
          <w:szCs w:val="20"/>
        </w:rPr>
        <w:t xml:space="preserve"> </w:t>
      </w:r>
      <w:proofErr w:type="spellStart"/>
      <w:r w:rsidRPr="00A031C0">
        <w:rPr>
          <w:rFonts w:ascii="Verdana" w:hAnsi="Verdana"/>
          <w:sz w:val="20"/>
          <w:szCs w:val="20"/>
        </w:rPr>
        <w:t>trends</w:t>
      </w:r>
      <w:proofErr w:type="spellEnd"/>
      <w:r w:rsidRPr="00A031C0">
        <w:rPr>
          <w:rFonts w:ascii="Verdana" w:hAnsi="Verdana"/>
          <w:sz w:val="20"/>
          <w:szCs w:val="20"/>
        </w:rPr>
        <w:t xml:space="preserve"> and </w:t>
      </w:r>
      <w:proofErr w:type="spellStart"/>
      <w:r w:rsidRPr="00A031C0">
        <w:rPr>
          <w:rFonts w:ascii="Verdana" w:hAnsi="Verdana"/>
          <w:sz w:val="20"/>
          <w:szCs w:val="20"/>
        </w:rPr>
        <w:t>patterns</w:t>
      </w:r>
      <w:proofErr w:type="spellEnd"/>
      <w:r w:rsidRPr="00A031C0">
        <w:rPr>
          <w:rFonts w:ascii="Verdana" w:hAnsi="Verdana"/>
          <w:sz w:val="20"/>
          <w:szCs w:val="20"/>
        </w:rPr>
        <w:t xml:space="preserve"> of </w:t>
      </w:r>
      <w:proofErr w:type="spellStart"/>
      <w:r w:rsidRPr="00A031C0">
        <w:rPr>
          <w:rFonts w:ascii="Verdana" w:hAnsi="Verdana"/>
          <w:sz w:val="20"/>
          <w:szCs w:val="20"/>
        </w:rPr>
        <w:t>crime</w:t>
      </w:r>
      <w:proofErr w:type="spellEnd"/>
      <w:r w:rsidRPr="00A031C0">
        <w:rPr>
          <w:rFonts w:ascii="Verdana" w:hAnsi="Verdana"/>
          <w:sz w:val="20"/>
          <w:szCs w:val="20"/>
        </w:rPr>
        <w:t xml:space="preserve"> in Ghana: </w:t>
      </w:r>
      <w:proofErr w:type="spellStart"/>
      <w:r w:rsidRPr="00A031C0">
        <w:rPr>
          <w:rFonts w:ascii="Verdana" w:hAnsi="Verdana"/>
          <w:sz w:val="20"/>
          <w:szCs w:val="20"/>
        </w:rPr>
        <w:t>The</w:t>
      </w:r>
      <w:proofErr w:type="spellEnd"/>
      <w:r w:rsidRPr="00A031C0">
        <w:rPr>
          <w:rFonts w:ascii="Verdana" w:hAnsi="Verdana"/>
          <w:sz w:val="20"/>
          <w:szCs w:val="20"/>
        </w:rPr>
        <w:t xml:space="preserve"> case of </w:t>
      </w:r>
      <w:proofErr w:type="spellStart"/>
      <w:r w:rsidRPr="00A031C0">
        <w:rPr>
          <w:rFonts w:ascii="Verdana" w:hAnsi="Verdana"/>
          <w:sz w:val="20"/>
          <w:szCs w:val="20"/>
        </w:rPr>
        <w:t>robbery</w:t>
      </w:r>
      <w:proofErr w:type="spellEnd"/>
      <w:r w:rsidRPr="00A031C0">
        <w:rPr>
          <w:rFonts w:ascii="Verdana" w:hAnsi="Verdana"/>
          <w:sz w:val="20"/>
          <w:szCs w:val="20"/>
        </w:rPr>
        <w:t xml:space="preserve">. </w:t>
      </w:r>
      <w:r w:rsidRPr="00A031C0">
        <w:rPr>
          <w:rFonts w:ascii="Verdana" w:hAnsi="Verdana"/>
          <w:i/>
          <w:iCs/>
          <w:sz w:val="20"/>
          <w:szCs w:val="20"/>
        </w:rPr>
        <w:t xml:space="preserve">International </w:t>
      </w:r>
      <w:proofErr w:type="spellStart"/>
      <w:r w:rsidRPr="00A031C0">
        <w:rPr>
          <w:rFonts w:ascii="Verdana" w:hAnsi="Verdana"/>
          <w:i/>
          <w:iCs/>
          <w:sz w:val="20"/>
          <w:szCs w:val="20"/>
        </w:rPr>
        <w:t>Journal</w:t>
      </w:r>
      <w:proofErr w:type="spellEnd"/>
      <w:r w:rsidRPr="00A031C0">
        <w:rPr>
          <w:rFonts w:ascii="Verdana" w:hAnsi="Verdana"/>
          <w:i/>
          <w:iCs/>
          <w:sz w:val="20"/>
          <w:szCs w:val="20"/>
        </w:rPr>
        <w:t xml:space="preserve"> of Criminal </w:t>
      </w:r>
      <w:proofErr w:type="spellStart"/>
      <w:r w:rsidRPr="00A031C0">
        <w:rPr>
          <w:rFonts w:ascii="Verdana" w:hAnsi="Verdana"/>
          <w:i/>
          <w:iCs/>
          <w:sz w:val="20"/>
          <w:szCs w:val="20"/>
        </w:rPr>
        <w:t>Justice</w:t>
      </w:r>
      <w:proofErr w:type="spellEnd"/>
      <w:r w:rsidRPr="00A031C0">
        <w:rPr>
          <w:rFonts w:ascii="Verdana" w:hAnsi="Verdana"/>
          <w:i/>
          <w:iCs/>
          <w:sz w:val="20"/>
          <w:szCs w:val="20"/>
        </w:rPr>
        <w:t xml:space="preserve"> </w:t>
      </w:r>
      <w:proofErr w:type="spellStart"/>
      <w:r w:rsidRPr="00A031C0">
        <w:rPr>
          <w:rFonts w:ascii="Verdana" w:hAnsi="Verdana"/>
          <w:i/>
          <w:iCs/>
          <w:sz w:val="20"/>
          <w:szCs w:val="20"/>
        </w:rPr>
        <w:t>Science</w:t>
      </w:r>
      <w:proofErr w:type="spellEnd"/>
      <w:r w:rsidRPr="00A031C0">
        <w:rPr>
          <w:rFonts w:ascii="Verdana" w:hAnsi="Verdana"/>
          <w:sz w:val="20"/>
          <w:szCs w:val="20"/>
        </w:rPr>
        <w:t xml:space="preserve">, </w:t>
      </w:r>
      <w:r w:rsidRPr="00A031C0">
        <w:rPr>
          <w:rFonts w:ascii="Verdana" w:hAnsi="Verdana"/>
          <w:i/>
          <w:iCs/>
          <w:sz w:val="20"/>
          <w:szCs w:val="20"/>
        </w:rPr>
        <w:t>17</w:t>
      </w:r>
      <w:r w:rsidRPr="00A031C0">
        <w:rPr>
          <w:rFonts w:ascii="Verdana" w:hAnsi="Verdana"/>
          <w:sz w:val="20"/>
          <w:szCs w:val="20"/>
        </w:rPr>
        <w:t xml:space="preserve">(1), 93-109. </w:t>
      </w:r>
      <w:hyperlink r:id="rId9" w:history="1">
        <w:r w:rsidRPr="00A031C0">
          <w:rPr>
            <w:rStyle w:val="Hipervnculo"/>
            <w:rFonts w:ascii="Verdana" w:hAnsi="Verdana"/>
            <w:sz w:val="20"/>
            <w:szCs w:val="20"/>
          </w:rPr>
          <w:t>https://scholarworks.utrgv.edu/cj_fac/112/</w:t>
        </w:r>
      </w:hyperlink>
    </w:p>
    <w:p w14:paraId="6550926B" w14:textId="19A0F3FF" w:rsidR="00F7281D" w:rsidRPr="00A031C0" w:rsidRDefault="00F7281D" w:rsidP="00A031C0">
      <w:pPr>
        <w:spacing w:before="120" w:after="120"/>
        <w:ind w:left="709" w:hanging="709"/>
        <w:jc w:val="both"/>
        <w:rPr>
          <w:rFonts w:ascii="Verdana" w:hAnsi="Verdana"/>
          <w:sz w:val="20"/>
          <w:szCs w:val="20"/>
        </w:rPr>
      </w:pPr>
      <w:r w:rsidRPr="00A031C0">
        <w:rPr>
          <w:rFonts w:ascii="Verdana" w:hAnsi="Verdana"/>
          <w:sz w:val="20"/>
          <w:szCs w:val="20"/>
        </w:rPr>
        <w:t xml:space="preserve">Ashby, M. P. (2020). </w:t>
      </w:r>
      <w:proofErr w:type="spellStart"/>
      <w:r w:rsidRPr="00A031C0">
        <w:rPr>
          <w:rFonts w:ascii="Verdana" w:hAnsi="Verdana"/>
          <w:sz w:val="20"/>
          <w:szCs w:val="20"/>
        </w:rPr>
        <w:t>Initial</w:t>
      </w:r>
      <w:proofErr w:type="spellEnd"/>
      <w:r w:rsidRPr="00A031C0">
        <w:rPr>
          <w:rFonts w:ascii="Verdana" w:hAnsi="Verdana"/>
          <w:sz w:val="20"/>
          <w:szCs w:val="20"/>
        </w:rPr>
        <w:t xml:space="preserve"> </w:t>
      </w:r>
      <w:proofErr w:type="spellStart"/>
      <w:r w:rsidRPr="00A031C0">
        <w:rPr>
          <w:rFonts w:ascii="Verdana" w:hAnsi="Verdana"/>
          <w:sz w:val="20"/>
          <w:szCs w:val="20"/>
        </w:rPr>
        <w:t>evidence</w:t>
      </w:r>
      <w:proofErr w:type="spellEnd"/>
      <w:r w:rsidRPr="00A031C0">
        <w:rPr>
          <w:rFonts w:ascii="Verdana" w:hAnsi="Verdana"/>
          <w:sz w:val="20"/>
          <w:szCs w:val="20"/>
        </w:rPr>
        <w:t xml:space="preserve"> </w:t>
      </w:r>
      <w:proofErr w:type="spellStart"/>
      <w:r w:rsidRPr="00A031C0">
        <w:rPr>
          <w:rFonts w:ascii="Verdana" w:hAnsi="Verdana"/>
          <w:sz w:val="20"/>
          <w:szCs w:val="20"/>
        </w:rPr>
        <w:t>on</w:t>
      </w:r>
      <w:proofErr w:type="spellEnd"/>
      <w:r w:rsidRPr="00A031C0">
        <w:rPr>
          <w:rFonts w:ascii="Verdana" w:hAnsi="Verdana"/>
          <w:sz w:val="20"/>
          <w:szCs w:val="20"/>
        </w:rPr>
        <w:t xml:space="preserve"> </w:t>
      </w:r>
      <w:proofErr w:type="spellStart"/>
      <w:r w:rsidRPr="00A031C0">
        <w:rPr>
          <w:rFonts w:ascii="Verdana" w:hAnsi="Verdana"/>
          <w:sz w:val="20"/>
          <w:szCs w:val="20"/>
        </w:rPr>
        <w:t>the</w:t>
      </w:r>
      <w:proofErr w:type="spellEnd"/>
      <w:r w:rsidRPr="00A031C0">
        <w:rPr>
          <w:rFonts w:ascii="Verdana" w:hAnsi="Verdana"/>
          <w:sz w:val="20"/>
          <w:szCs w:val="20"/>
        </w:rPr>
        <w:t xml:space="preserve"> </w:t>
      </w:r>
      <w:proofErr w:type="spellStart"/>
      <w:r w:rsidRPr="00A031C0">
        <w:rPr>
          <w:rFonts w:ascii="Verdana" w:hAnsi="Verdana"/>
          <w:sz w:val="20"/>
          <w:szCs w:val="20"/>
        </w:rPr>
        <w:t>relationship</w:t>
      </w:r>
      <w:proofErr w:type="spellEnd"/>
      <w:r w:rsidRPr="00A031C0">
        <w:rPr>
          <w:rFonts w:ascii="Verdana" w:hAnsi="Verdana"/>
          <w:sz w:val="20"/>
          <w:szCs w:val="20"/>
        </w:rPr>
        <w:t xml:space="preserve"> </w:t>
      </w:r>
      <w:proofErr w:type="spellStart"/>
      <w:r w:rsidRPr="00A031C0">
        <w:rPr>
          <w:rFonts w:ascii="Verdana" w:hAnsi="Verdana"/>
          <w:sz w:val="20"/>
          <w:szCs w:val="20"/>
        </w:rPr>
        <w:t>between</w:t>
      </w:r>
      <w:proofErr w:type="spellEnd"/>
      <w:r w:rsidRPr="00A031C0">
        <w:rPr>
          <w:rFonts w:ascii="Verdana" w:hAnsi="Verdana"/>
          <w:sz w:val="20"/>
          <w:szCs w:val="20"/>
        </w:rPr>
        <w:t xml:space="preserve"> </w:t>
      </w:r>
      <w:proofErr w:type="spellStart"/>
      <w:r w:rsidRPr="00A031C0">
        <w:rPr>
          <w:rFonts w:ascii="Verdana" w:hAnsi="Verdana"/>
          <w:sz w:val="20"/>
          <w:szCs w:val="20"/>
        </w:rPr>
        <w:t>the</w:t>
      </w:r>
      <w:proofErr w:type="spellEnd"/>
      <w:r w:rsidRPr="00A031C0">
        <w:rPr>
          <w:rFonts w:ascii="Verdana" w:hAnsi="Verdana"/>
          <w:sz w:val="20"/>
          <w:szCs w:val="20"/>
        </w:rPr>
        <w:t xml:space="preserve"> coronavirus </w:t>
      </w:r>
      <w:proofErr w:type="spellStart"/>
      <w:r w:rsidRPr="00A031C0">
        <w:rPr>
          <w:rFonts w:ascii="Verdana" w:hAnsi="Verdana"/>
          <w:sz w:val="20"/>
          <w:szCs w:val="20"/>
        </w:rPr>
        <w:t>pandemic</w:t>
      </w:r>
      <w:proofErr w:type="spellEnd"/>
      <w:r w:rsidRPr="00A031C0">
        <w:rPr>
          <w:rFonts w:ascii="Verdana" w:hAnsi="Verdana"/>
          <w:sz w:val="20"/>
          <w:szCs w:val="20"/>
        </w:rPr>
        <w:t xml:space="preserve"> and </w:t>
      </w:r>
      <w:proofErr w:type="spellStart"/>
      <w:r w:rsidRPr="00A031C0">
        <w:rPr>
          <w:rFonts w:ascii="Verdana" w:hAnsi="Verdana"/>
          <w:sz w:val="20"/>
          <w:szCs w:val="20"/>
        </w:rPr>
        <w:t>crime</w:t>
      </w:r>
      <w:proofErr w:type="spellEnd"/>
      <w:r w:rsidRPr="00A031C0">
        <w:rPr>
          <w:rFonts w:ascii="Verdana" w:hAnsi="Verdana"/>
          <w:sz w:val="20"/>
          <w:szCs w:val="20"/>
        </w:rPr>
        <w:t xml:space="preserve"> in </w:t>
      </w:r>
      <w:proofErr w:type="spellStart"/>
      <w:r w:rsidRPr="00A031C0">
        <w:rPr>
          <w:rFonts w:ascii="Verdana" w:hAnsi="Verdana"/>
          <w:sz w:val="20"/>
          <w:szCs w:val="20"/>
        </w:rPr>
        <w:t>the</w:t>
      </w:r>
      <w:proofErr w:type="spellEnd"/>
      <w:r w:rsidRPr="00A031C0">
        <w:rPr>
          <w:rFonts w:ascii="Verdana" w:hAnsi="Verdana"/>
          <w:sz w:val="20"/>
          <w:szCs w:val="20"/>
        </w:rPr>
        <w:t xml:space="preserve"> </w:t>
      </w:r>
      <w:proofErr w:type="spellStart"/>
      <w:r w:rsidRPr="00A031C0">
        <w:rPr>
          <w:rFonts w:ascii="Verdana" w:hAnsi="Verdana"/>
          <w:sz w:val="20"/>
          <w:szCs w:val="20"/>
        </w:rPr>
        <w:t>United</w:t>
      </w:r>
      <w:proofErr w:type="spellEnd"/>
      <w:r w:rsidRPr="00A031C0">
        <w:rPr>
          <w:rFonts w:ascii="Verdana" w:hAnsi="Verdana"/>
          <w:sz w:val="20"/>
          <w:szCs w:val="20"/>
        </w:rPr>
        <w:t xml:space="preserve"> </w:t>
      </w:r>
      <w:proofErr w:type="spellStart"/>
      <w:r w:rsidRPr="00A031C0">
        <w:rPr>
          <w:rFonts w:ascii="Verdana" w:hAnsi="Verdana"/>
          <w:sz w:val="20"/>
          <w:szCs w:val="20"/>
        </w:rPr>
        <w:t>States</w:t>
      </w:r>
      <w:proofErr w:type="spellEnd"/>
      <w:r w:rsidRPr="00A031C0">
        <w:rPr>
          <w:rFonts w:ascii="Verdana" w:hAnsi="Verdana"/>
          <w:sz w:val="20"/>
          <w:szCs w:val="20"/>
        </w:rPr>
        <w:t xml:space="preserve">. </w:t>
      </w:r>
      <w:proofErr w:type="spellStart"/>
      <w:r w:rsidRPr="00A031C0">
        <w:rPr>
          <w:rFonts w:ascii="Verdana" w:hAnsi="Verdana"/>
          <w:i/>
          <w:iCs/>
          <w:sz w:val="20"/>
          <w:szCs w:val="20"/>
        </w:rPr>
        <w:t>Crime</w:t>
      </w:r>
      <w:proofErr w:type="spellEnd"/>
      <w:r w:rsidRPr="00A031C0">
        <w:rPr>
          <w:rFonts w:ascii="Verdana" w:hAnsi="Verdana"/>
          <w:i/>
          <w:iCs/>
          <w:sz w:val="20"/>
          <w:szCs w:val="20"/>
        </w:rPr>
        <w:t xml:space="preserve"> </w:t>
      </w:r>
      <w:proofErr w:type="spellStart"/>
      <w:r w:rsidRPr="00A031C0">
        <w:rPr>
          <w:rFonts w:ascii="Verdana" w:hAnsi="Verdana"/>
          <w:i/>
          <w:iCs/>
          <w:sz w:val="20"/>
          <w:szCs w:val="20"/>
        </w:rPr>
        <w:t>Science</w:t>
      </w:r>
      <w:proofErr w:type="spellEnd"/>
      <w:r w:rsidRPr="00A031C0">
        <w:rPr>
          <w:rFonts w:ascii="Verdana" w:hAnsi="Verdana"/>
          <w:sz w:val="20"/>
          <w:szCs w:val="20"/>
        </w:rPr>
        <w:t xml:space="preserve">, </w:t>
      </w:r>
      <w:r w:rsidRPr="00A031C0">
        <w:rPr>
          <w:rFonts w:ascii="Verdana" w:hAnsi="Verdana"/>
          <w:i/>
          <w:iCs/>
          <w:sz w:val="20"/>
          <w:szCs w:val="20"/>
        </w:rPr>
        <w:t>9</w:t>
      </w:r>
      <w:r w:rsidRPr="00A031C0">
        <w:rPr>
          <w:rFonts w:ascii="Verdana" w:hAnsi="Verdana"/>
          <w:sz w:val="20"/>
          <w:szCs w:val="20"/>
        </w:rPr>
        <w:t xml:space="preserve">(1), 6. </w:t>
      </w:r>
      <w:hyperlink r:id="rId10" w:history="1">
        <w:r w:rsidRPr="00A031C0">
          <w:rPr>
            <w:rStyle w:val="Hipervnculo"/>
            <w:rFonts w:ascii="Verdana" w:hAnsi="Verdana"/>
            <w:sz w:val="20"/>
            <w:szCs w:val="20"/>
          </w:rPr>
          <w:t>https://doi.org/10.1186/s40163-020-00117-6</w:t>
        </w:r>
      </w:hyperlink>
    </w:p>
    <w:p w14:paraId="16F8ED0A" w14:textId="4E6A7AD4" w:rsidR="00F7281D" w:rsidRPr="00A031C0" w:rsidRDefault="00F7281D" w:rsidP="00A031C0">
      <w:pPr>
        <w:spacing w:before="120" w:after="120"/>
        <w:ind w:left="709" w:hanging="709"/>
        <w:jc w:val="both"/>
        <w:rPr>
          <w:rFonts w:ascii="Verdana" w:hAnsi="Verdana"/>
          <w:sz w:val="20"/>
          <w:szCs w:val="20"/>
        </w:rPr>
      </w:pPr>
      <w:r w:rsidRPr="00A031C0">
        <w:rPr>
          <w:rFonts w:ascii="Verdana" w:hAnsi="Verdana"/>
          <w:sz w:val="20"/>
          <w:szCs w:val="20"/>
        </w:rPr>
        <w:t xml:space="preserve">Battin, J. R., &amp; Crowl, J. N. (2017). </w:t>
      </w:r>
      <w:proofErr w:type="spellStart"/>
      <w:r w:rsidRPr="00A031C0">
        <w:rPr>
          <w:rFonts w:ascii="Verdana" w:hAnsi="Verdana"/>
          <w:sz w:val="20"/>
          <w:szCs w:val="20"/>
        </w:rPr>
        <w:t>Urban</w:t>
      </w:r>
      <w:proofErr w:type="spellEnd"/>
      <w:r w:rsidRPr="00A031C0">
        <w:rPr>
          <w:rFonts w:ascii="Verdana" w:hAnsi="Verdana"/>
          <w:sz w:val="20"/>
          <w:szCs w:val="20"/>
        </w:rPr>
        <w:t xml:space="preserve"> </w:t>
      </w:r>
      <w:proofErr w:type="spellStart"/>
      <w:r w:rsidRPr="00A031C0">
        <w:rPr>
          <w:rFonts w:ascii="Verdana" w:hAnsi="Verdana"/>
          <w:sz w:val="20"/>
          <w:szCs w:val="20"/>
        </w:rPr>
        <w:t>sprawl</w:t>
      </w:r>
      <w:proofErr w:type="spellEnd"/>
      <w:r w:rsidRPr="00A031C0">
        <w:rPr>
          <w:rFonts w:ascii="Verdana" w:hAnsi="Verdana"/>
          <w:sz w:val="20"/>
          <w:szCs w:val="20"/>
        </w:rPr>
        <w:t xml:space="preserve">, </w:t>
      </w:r>
      <w:proofErr w:type="spellStart"/>
      <w:r w:rsidRPr="00A031C0">
        <w:rPr>
          <w:rFonts w:ascii="Verdana" w:hAnsi="Verdana"/>
          <w:sz w:val="20"/>
          <w:szCs w:val="20"/>
        </w:rPr>
        <w:t>population</w:t>
      </w:r>
      <w:proofErr w:type="spellEnd"/>
      <w:r w:rsidRPr="00A031C0">
        <w:rPr>
          <w:rFonts w:ascii="Verdana" w:hAnsi="Verdana"/>
          <w:sz w:val="20"/>
          <w:szCs w:val="20"/>
        </w:rPr>
        <w:t xml:space="preserve"> </w:t>
      </w:r>
      <w:proofErr w:type="spellStart"/>
      <w:r w:rsidRPr="00A031C0">
        <w:rPr>
          <w:rFonts w:ascii="Verdana" w:hAnsi="Verdana"/>
          <w:sz w:val="20"/>
          <w:szCs w:val="20"/>
        </w:rPr>
        <w:t>density</w:t>
      </w:r>
      <w:proofErr w:type="spellEnd"/>
      <w:r w:rsidRPr="00A031C0">
        <w:rPr>
          <w:rFonts w:ascii="Verdana" w:hAnsi="Verdana"/>
          <w:sz w:val="20"/>
          <w:szCs w:val="20"/>
        </w:rPr>
        <w:t xml:space="preserve">, and </w:t>
      </w:r>
      <w:proofErr w:type="spellStart"/>
      <w:r w:rsidRPr="00A031C0">
        <w:rPr>
          <w:rFonts w:ascii="Verdana" w:hAnsi="Verdana"/>
          <w:sz w:val="20"/>
          <w:szCs w:val="20"/>
        </w:rPr>
        <w:t>crime</w:t>
      </w:r>
      <w:proofErr w:type="spellEnd"/>
      <w:r w:rsidRPr="00A031C0">
        <w:rPr>
          <w:rFonts w:ascii="Verdana" w:hAnsi="Verdana"/>
          <w:sz w:val="20"/>
          <w:szCs w:val="20"/>
        </w:rPr>
        <w:t xml:space="preserve">: </w:t>
      </w:r>
      <w:proofErr w:type="spellStart"/>
      <w:r w:rsidRPr="00A031C0">
        <w:rPr>
          <w:rFonts w:ascii="Verdana" w:hAnsi="Verdana"/>
          <w:sz w:val="20"/>
          <w:szCs w:val="20"/>
        </w:rPr>
        <w:t>An</w:t>
      </w:r>
      <w:proofErr w:type="spellEnd"/>
      <w:r w:rsidRPr="00A031C0">
        <w:rPr>
          <w:rFonts w:ascii="Verdana" w:hAnsi="Verdana"/>
          <w:sz w:val="20"/>
          <w:szCs w:val="20"/>
        </w:rPr>
        <w:t xml:space="preserve"> </w:t>
      </w:r>
      <w:proofErr w:type="spellStart"/>
      <w:r w:rsidRPr="00A031C0">
        <w:rPr>
          <w:rFonts w:ascii="Verdana" w:hAnsi="Verdana"/>
          <w:sz w:val="20"/>
          <w:szCs w:val="20"/>
        </w:rPr>
        <w:t>examination</w:t>
      </w:r>
      <w:proofErr w:type="spellEnd"/>
      <w:r w:rsidRPr="00A031C0">
        <w:rPr>
          <w:rFonts w:ascii="Verdana" w:hAnsi="Verdana"/>
          <w:sz w:val="20"/>
          <w:szCs w:val="20"/>
        </w:rPr>
        <w:t xml:space="preserve"> of </w:t>
      </w:r>
      <w:proofErr w:type="spellStart"/>
      <w:r w:rsidRPr="00A031C0">
        <w:rPr>
          <w:rFonts w:ascii="Verdana" w:hAnsi="Verdana"/>
          <w:sz w:val="20"/>
          <w:szCs w:val="20"/>
        </w:rPr>
        <w:t>contemporary</w:t>
      </w:r>
      <w:proofErr w:type="spellEnd"/>
      <w:r w:rsidRPr="00A031C0">
        <w:rPr>
          <w:rFonts w:ascii="Verdana" w:hAnsi="Verdana"/>
          <w:sz w:val="20"/>
          <w:szCs w:val="20"/>
        </w:rPr>
        <w:t xml:space="preserve"> </w:t>
      </w:r>
      <w:proofErr w:type="spellStart"/>
      <w:r w:rsidRPr="00A031C0">
        <w:rPr>
          <w:rFonts w:ascii="Verdana" w:hAnsi="Verdana"/>
          <w:sz w:val="20"/>
          <w:szCs w:val="20"/>
        </w:rPr>
        <w:t>migration</w:t>
      </w:r>
      <w:proofErr w:type="spellEnd"/>
      <w:r w:rsidRPr="00A031C0">
        <w:rPr>
          <w:rFonts w:ascii="Verdana" w:hAnsi="Verdana"/>
          <w:sz w:val="20"/>
          <w:szCs w:val="20"/>
        </w:rPr>
        <w:t xml:space="preserve"> </w:t>
      </w:r>
      <w:proofErr w:type="spellStart"/>
      <w:r w:rsidRPr="00A031C0">
        <w:rPr>
          <w:rFonts w:ascii="Verdana" w:hAnsi="Verdana"/>
          <w:sz w:val="20"/>
          <w:szCs w:val="20"/>
        </w:rPr>
        <w:t>trends</w:t>
      </w:r>
      <w:proofErr w:type="spellEnd"/>
      <w:r w:rsidRPr="00A031C0">
        <w:rPr>
          <w:rFonts w:ascii="Verdana" w:hAnsi="Verdana"/>
          <w:sz w:val="20"/>
          <w:szCs w:val="20"/>
        </w:rPr>
        <w:t xml:space="preserve"> and </w:t>
      </w:r>
      <w:proofErr w:type="spellStart"/>
      <w:r w:rsidRPr="00A031C0">
        <w:rPr>
          <w:rFonts w:ascii="Verdana" w:hAnsi="Verdana"/>
          <w:sz w:val="20"/>
          <w:szCs w:val="20"/>
        </w:rPr>
        <w:t>crime</w:t>
      </w:r>
      <w:proofErr w:type="spellEnd"/>
      <w:r w:rsidRPr="00A031C0">
        <w:rPr>
          <w:rFonts w:ascii="Verdana" w:hAnsi="Verdana"/>
          <w:sz w:val="20"/>
          <w:szCs w:val="20"/>
        </w:rPr>
        <w:t xml:space="preserve"> in </w:t>
      </w:r>
      <w:proofErr w:type="spellStart"/>
      <w:r w:rsidRPr="00A031C0">
        <w:rPr>
          <w:rFonts w:ascii="Verdana" w:hAnsi="Verdana"/>
          <w:sz w:val="20"/>
          <w:szCs w:val="20"/>
        </w:rPr>
        <w:t>suburban</w:t>
      </w:r>
      <w:proofErr w:type="spellEnd"/>
      <w:r w:rsidRPr="00A031C0">
        <w:rPr>
          <w:rFonts w:ascii="Verdana" w:hAnsi="Verdana"/>
          <w:sz w:val="20"/>
          <w:szCs w:val="20"/>
        </w:rPr>
        <w:t xml:space="preserve"> and rural </w:t>
      </w:r>
      <w:proofErr w:type="spellStart"/>
      <w:r w:rsidRPr="00A031C0">
        <w:rPr>
          <w:rFonts w:ascii="Verdana" w:hAnsi="Verdana"/>
          <w:sz w:val="20"/>
          <w:szCs w:val="20"/>
        </w:rPr>
        <w:t>neighborhoods</w:t>
      </w:r>
      <w:proofErr w:type="spellEnd"/>
      <w:r w:rsidRPr="00A031C0">
        <w:rPr>
          <w:rFonts w:ascii="Verdana" w:hAnsi="Verdana"/>
          <w:sz w:val="20"/>
          <w:szCs w:val="20"/>
        </w:rPr>
        <w:t xml:space="preserve">. </w:t>
      </w:r>
      <w:proofErr w:type="spellStart"/>
      <w:r w:rsidRPr="00A031C0">
        <w:rPr>
          <w:rFonts w:ascii="Verdana" w:hAnsi="Verdana"/>
          <w:i/>
          <w:iCs/>
          <w:sz w:val="20"/>
          <w:szCs w:val="20"/>
        </w:rPr>
        <w:t>Crime</w:t>
      </w:r>
      <w:proofErr w:type="spellEnd"/>
      <w:r w:rsidRPr="00A031C0">
        <w:rPr>
          <w:rFonts w:ascii="Verdana" w:hAnsi="Verdana"/>
          <w:i/>
          <w:iCs/>
          <w:sz w:val="20"/>
          <w:szCs w:val="20"/>
        </w:rPr>
        <w:t xml:space="preserve"> </w:t>
      </w:r>
      <w:proofErr w:type="spellStart"/>
      <w:r w:rsidRPr="00A031C0">
        <w:rPr>
          <w:rFonts w:ascii="Verdana" w:hAnsi="Verdana"/>
          <w:i/>
          <w:iCs/>
          <w:sz w:val="20"/>
          <w:szCs w:val="20"/>
        </w:rPr>
        <w:t>prevention</w:t>
      </w:r>
      <w:proofErr w:type="spellEnd"/>
      <w:r w:rsidRPr="00A031C0">
        <w:rPr>
          <w:rFonts w:ascii="Verdana" w:hAnsi="Verdana"/>
          <w:i/>
          <w:iCs/>
          <w:sz w:val="20"/>
          <w:szCs w:val="20"/>
        </w:rPr>
        <w:t xml:space="preserve"> and </w:t>
      </w:r>
      <w:proofErr w:type="spellStart"/>
      <w:r w:rsidRPr="00A031C0">
        <w:rPr>
          <w:rFonts w:ascii="Verdana" w:hAnsi="Verdana"/>
          <w:i/>
          <w:iCs/>
          <w:sz w:val="20"/>
          <w:szCs w:val="20"/>
        </w:rPr>
        <w:t>community</w:t>
      </w:r>
      <w:proofErr w:type="spellEnd"/>
      <w:r w:rsidRPr="00A031C0">
        <w:rPr>
          <w:rFonts w:ascii="Verdana" w:hAnsi="Verdana"/>
          <w:i/>
          <w:iCs/>
          <w:sz w:val="20"/>
          <w:szCs w:val="20"/>
        </w:rPr>
        <w:t xml:space="preserve"> safety</w:t>
      </w:r>
      <w:r w:rsidRPr="00A031C0">
        <w:rPr>
          <w:rFonts w:ascii="Verdana" w:hAnsi="Verdana"/>
          <w:sz w:val="20"/>
          <w:szCs w:val="20"/>
        </w:rPr>
        <w:t xml:space="preserve">, </w:t>
      </w:r>
      <w:r w:rsidRPr="00A031C0">
        <w:rPr>
          <w:rFonts w:ascii="Verdana" w:hAnsi="Verdana"/>
          <w:i/>
          <w:iCs/>
          <w:sz w:val="20"/>
          <w:szCs w:val="20"/>
        </w:rPr>
        <w:t>19</w:t>
      </w:r>
      <w:r w:rsidRPr="00A031C0">
        <w:rPr>
          <w:rFonts w:ascii="Verdana" w:hAnsi="Verdana"/>
          <w:sz w:val="20"/>
          <w:szCs w:val="20"/>
        </w:rPr>
        <w:t xml:space="preserve">(2), 136-150. </w:t>
      </w:r>
      <w:hyperlink r:id="rId11" w:history="1">
        <w:r w:rsidRPr="00A031C0">
          <w:rPr>
            <w:rStyle w:val="Hipervnculo"/>
            <w:rFonts w:ascii="Verdana" w:hAnsi="Verdana"/>
            <w:sz w:val="20"/>
            <w:szCs w:val="20"/>
          </w:rPr>
          <w:t>https://doi.org/10.1057/s41300-017-0020-9</w:t>
        </w:r>
      </w:hyperlink>
    </w:p>
    <w:p w14:paraId="2D49606C" w14:textId="5F55F0F5" w:rsidR="003371B7" w:rsidRPr="00A031C0" w:rsidRDefault="003371B7" w:rsidP="00A031C0">
      <w:pPr>
        <w:spacing w:before="120" w:after="120"/>
        <w:ind w:left="709" w:hanging="709"/>
        <w:jc w:val="both"/>
        <w:rPr>
          <w:rFonts w:ascii="Verdana" w:hAnsi="Verdana"/>
          <w:sz w:val="20"/>
          <w:szCs w:val="20"/>
        </w:rPr>
      </w:pPr>
      <w:r w:rsidRPr="00A031C0">
        <w:rPr>
          <w:rFonts w:ascii="Verdana" w:hAnsi="Verdana"/>
          <w:sz w:val="20"/>
          <w:szCs w:val="20"/>
        </w:rPr>
        <w:t xml:space="preserve">Becker, G. S. (1968). </w:t>
      </w:r>
      <w:proofErr w:type="spellStart"/>
      <w:r w:rsidRPr="00A031C0">
        <w:rPr>
          <w:rFonts w:ascii="Verdana" w:hAnsi="Verdana"/>
          <w:sz w:val="20"/>
          <w:szCs w:val="20"/>
        </w:rPr>
        <w:t>Crime</w:t>
      </w:r>
      <w:proofErr w:type="spellEnd"/>
      <w:r w:rsidRPr="00A031C0">
        <w:rPr>
          <w:rFonts w:ascii="Verdana" w:hAnsi="Verdana"/>
          <w:sz w:val="20"/>
          <w:szCs w:val="20"/>
        </w:rPr>
        <w:t xml:space="preserve"> and </w:t>
      </w:r>
      <w:proofErr w:type="spellStart"/>
      <w:r w:rsidRPr="00A031C0">
        <w:rPr>
          <w:rFonts w:ascii="Verdana" w:hAnsi="Verdana"/>
          <w:sz w:val="20"/>
          <w:szCs w:val="20"/>
        </w:rPr>
        <w:t>punishment</w:t>
      </w:r>
      <w:proofErr w:type="spellEnd"/>
      <w:r w:rsidRPr="00A031C0">
        <w:rPr>
          <w:rFonts w:ascii="Verdana" w:hAnsi="Verdana"/>
          <w:sz w:val="20"/>
          <w:szCs w:val="20"/>
        </w:rPr>
        <w:t xml:space="preserve">: </w:t>
      </w:r>
      <w:proofErr w:type="spellStart"/>
      <w:r w:rsidRPr="00A031C0">
        <w:rPr>
          <w:rFonts w:ascii="Verdana" w:hAnsi="Verdana"/>
          <w:sz w:val="20"/>
          <w:szCs w:val="20"/>
        </w:rPr>
        <w:t>An</w:t>
      </w:r>
      <w:proofErr w:type="spellEnd"/>
      <w:r w:rsidRPr="00A031C0">
        <w:rPr>
          <w:rFonts w:ascii="Verdana" w:hAnsi="Verdana"/>
          <w:sz w:val="20"/>
          <w:szCs w:val="20"/>
        </w:rPr>
        <w:t xml:space="preserve"> </w:t>
      </w:r>
      <w:proofErr w:type="spellStart"/>
      <w:r w:rsidRPr="00A031C0">
        <w:rPr>
          <w:rFonts w:ascii="Verdana" w:hAnsi="Verdana"/>
          <w:sz w:val="20"/>
          <w:szCs w:val="20"/>
        </w:rPr>
        <w:t>economic</w:t>
      </w:r>
      <w:proofErr w:type="spellEnd"/>
      <w:r w:rsidRPr="00A031C0">
        <w:rPr>
          <w:rFonts w:ascii="Verdana" w:hAnsi="Verdana"/>
          <w:sz w:val="20"/>
          <w:szCs w:val="20"/>
        </w:rPr>
        <w:t xml:space="preserve"> </w:t>
      </w:r>
      <w:proofErr w:type="spellStart"/>
      <w:r w:rsidRPr="00A031C0">
        <w:rPr>
          <w:rFonts w:ascii="Verdana" w:hAnsi="Verdana"/>
          <w:sz w:val="20"/>
          <w:szCs w:val="20"/>
        </w:rPr>
        <w:t>approach</w:t>
      </w:r>
      <w:proofErr w:type="spellEnd"/>
      <w:r w:rsidRPr="00A031C0">
        <w:rPr>
          <w:rFonts w:ascii="Verdana" w:hAnsi="Verdana"/>
          <w:sz w:val="20"/>
          <w:szCs w:val="20"/>
        </w:rPr>
        <w:t xml:space="preserve">. </w:t>
      </w:r>
      <w:proofErr w:type="spellStart"/>
      <w:r w:rsidRPr="00A031C0">
        <w:rPr>
          <w:rFonts w:ascii="Verdana" w:hAnsi="Verdana"/>
          <w:i/>
          <w:iCs/>
          <w:sz w:val="20"/>
          <w:szCs w:val="20"/>
        </w:rPr>
        <w:t>Journal</w:t>
      </w:r>
      <w:proofErr w:type="spellEnd"/>
      <w:r w:rsidRPr="00A031C0">
        <w:rPr>
          <w:rFonts w:ascii="Verdana" w:hAnsi="Verdana"/>
          <w:i/>
          <w:iCs/>
          <w:sz w:val="20"/>
          <w:szCs w:val="20"/>
        </w:rPr>
        <w:t xml:space="preserve"> of </w:t>
      </w:r>
      <w:proofErr w:type="spellStart"/>
      <w:r w:rsidRPr="00A031C0">
        <w:rPr>
          <w:rFonts w:ascii="Verdana" w:hAnsi="Verdana"/>
          <w:i/>
          <w:iCs/>
          <w:sz w:val="20"/>
          <w:szCs w:val="20"/>
        </w:rPr>
        <w:t>Political</w:t>
      </w:r>
      <w:proofErr w:type="spellEnd"/>
      <w:r w:rsidRPr="00A031C0">
        <w:rPr>
          <w:rFonts w:ascii="Verdana" w:hAnsi="Verdana"/>
          <w:i/>
          <w:iCs/>
          <w:sz w:val="20"/>
          <w:szCs w:val="20"/>
        </w:rPr>
        <w:t xml:space="preserve"> </w:t>
      </w:r>
      <w:proofErr w:type="spellStart"/>
      <w:r w:rsidRPr="00A031C0">
        <w:rPr>
          <w:rFonts w:ascii="Verdana" w:hAnsi="Verdana"/>
          <w:i/>
          <w:iCs/>
          <w:sz w:val="20"/>
          <w:szCs w:val="20"/>
        </w:rPr>
        <w:t>Economy</w:t>
      </w:r>
      <w:proofErr w:type="spellEnd"/>
      <w:r w:rsidRPr="00A031C0">
        <w:rPr>
          <w:rFonts w:ascii="Verdana" w:hAnsi="Verdana"/>
          <w:sz w:val="20"/>
          <w:szCs w:val="20"/>
        </w:rPr>
        <w:t xml:space="preserve">, 76,169-217. </w:t>
      </w:r>
      <w:hyperlink r:id="rId12" w:history="1">
        <w:r w:rsidRPr="00A031C0">
          <w:rPr>
            <w:rStyle w:val="Hipervnculo"/>
            <w:rFonts w:ascii="Verdana" w:hAnsi="Verdana"/>
            <w:sz w:val="20"/>
            <w:szCs w:val="20"/>
          </w:rPr>
          <w:t>https://doi.org/10.1086/259394</w:t>
        </w:r>
      </w:hyperlink>
    </w:p>
    <w:p w14:paraId="24C98150" w14:textId="5F71022A" w:rsidR="007F410D" w:rsidRPr="00A031C0" w:rsidRDefault="007F410D" w:rsidP="00A031C0">
      <w:pPr>
        <w:spacing w:before="120" w:after="120"/>
        <w:ind w:left="709" w:hanging="709"/>
        <w:jc w:val="both"/>
        <w:rPr>
          <w:rFonts w:ascii="Verdana" w:hAnsi="Verdana"/>
          <w:sz w:val="20"/>
          <w:szCs w:val="20"/>
        </w:rPr>
      </w:pPr>
      <w:r w:rsidRPr="00A031C0">
        <w:rPr>
          <w:rFonts w:ascii="Verdana" w:hAnsi="Verdana"/>
          <w:sz w:val="20"/>
          <w:szCs w:val="20"/>
        </w:rPr>
        <w:t xml:space="preserve">Bell, B., Jaitman, L., &amp; Machin, S. (2014). </w:t>
      </w:r>
      <w:proofErr w:type="spellStart"/>
      <w:r w:rsidRPr="00A031C0">
        <w:rPr>
          <w:rFonts w:ascii="Verdana" w:hAnsi="Verdana"/>
          <w:sz w:val="20"/>
          <w:szCs w:val="20"/>
        </w:rPr>
        <w:t>Crime</w:t>
      </w:r>
      <w:proofErr w:type="spellEnd"/>
      <w:r w:rsidRPr="00A031C0">
        <w:rPr>
          <w:rFonts w:ascii="Verdana" w:hAnsi="Verdana"/>
          <w:sz w:val="20"/>
          <w:szCs w:val="20"/>
        </w:rPr>
        <w:t xml:space="preserve"> </w:t>
      </w:r>
      <w:proofErr w:type="spellStart"/>
      <w:r w:rsidRPr="00A031C0">
        <w:rPr>
          <w:rFonts w:ascii="Verdana" w:hAnsi="Verdana"/>
          <w:sz w:val="20"/>
          <w:szCs w:val="20"/>
        </w:rPr>
        <w:t>deterrence</w:t>
      </w:r>
      <w:proofErr w:type="spellEnd"/>
      <w:r w:rsidRPr="00A031C0">
        <w:rPr>
          <w:rFonts w:ascii="Verdana" w:hAnsi="Verdana"/>
          <w:sz w:val="20"/>
          <w:szCs w:val="20"/>
        </w:rPr>
        <w:t xml:space="preserve">: </w:t>
      </w:r>
      <w:proofErr w:type="spellStart"/>
      <w:r w:rsidRPr="00A031C0">
        <w:rPr>
          <w:rFonts w:ascii="Verdana" w:hAnsi="Verdana"/>
          <w:sz w:val="20"/>
          <w:szCs w:val="20"/>
        </w:rPr>
        <w:t>Evidence</w:t>
      </w:r>
      <w:proofErr w:type="spellEnd"/>
      <w:r w:rsidRPr="00A031C0">
        <w:rPr>
          <w:rFonts w:ascii="Verdana" w:hAnsi="Verdana"/>
          <w:sz w:val="20"/>
          <w:szCs w:val="20"/>
        </w:rPr>
        <w:t xml:space="preserve"> </w:t>
      </w:r>
      <w:proofErr w:type="spellStart"/>
      <w:r w:rsidRPr="00A031C0">
        <w:rPr>
          <w:rFonts w:ascii="Verdana" w:hAnsi="Verdana"/>
          <w:sz w:val="20"/>
          <w:szCs w:val="20"/>
        </w:rPr>
        <w:t>from</w:t>
      </w:r>
      <w:proofErr w:type="spellEnd"/>
      <w:r w:rsidRPr="00A031C0">
        <w:rPr>
          <w:rFonts w:ascii="Verdana" w:hAnsi="Verdana"/>
          <w:sz w:val="20"/>
          <w:szCs w:val="20"/>
        </w:rPr>
        <w:t xml:space="preserve"> </w:t>
      </w:r>
      <w:proofErr w:type="spellStart"/>
      <w:r w:rsidRPr="00A031C0">
        <w:rPr>
          <w:rFonts w:ascii="Verdana" w:hAnsi="Verdana"/>
          <w:sz w:val="20"/>
          <w:szCs w:val="20"/>
        </w:rPr>
        <w:t>the</w:t>
      </w:r>
      <w:proofErr w:type="spellEnd"/>
      <w:r w:rsidRPr="00A031C0">
        <w:rPr>
          <w:rFonts w:ascii="Verdana" w:hAnsi="Verdana"/>
          <w:sz w:val="20"/>
          <w:szCs w:val="20"/>
        </w:rPr>
        <w:t xml:space="preserve"> London 2011 </w:t>
      </w:r>
      <w:proofErr w:type="spellStart"/>
      <w:r w:rsidRPr="00A031C0">
        <w:rPr>
          <w:rFonts w:ascii="Verdana" w:hAnsi="Verdana"/>
          <w:sz w:val="20"/>
          <w:szCs w:val="20"/>
        </w:rPr>
        <w:t>riots</w:t>
      </w:r>
      <w:proofErr w:type="spellEnd"/>
      <w:r w:rsidRPr="00A031C0">
        <w:rPr>
          <w:rFonts w:ascii="Verdana" w:hAnsi="Verdana"/>
          <w:sz w:val="20"/>
          <w:szCs w:val="20"/>
        </w:rPr>
        <w:t xml:space="preserve">. </w:t>
      </w:r>
      <w:proofErr w:type="spellStart"/>
      <w:r w:rsidRPr="00A031C0">
        <w:rPr>
          <w:rFonts w:ascii="Verdana" w:hAnsi="Verdana"/>
          <w:i/>
          <w:iCs/>
          <w:sz w:val="20"/>
          <w:szCs w:val="20"/>
        </w:rPr>
        <w:t>The</w:t>
      </w:r>
      <w:proofErr w:type="spellEnd"/>
      <w:r w:rsidRPr="00A031C0">
        <w:rPr>
          <w:rFonts w:ascii="Verdana" w:hAnsi="Verdana"/>
          <w:i/>
          <w:iCs/>
          <w:sz w:val="20"/>
          <w:szCs w:val="20"/>
        </w:rPr>
        <w:t xml:space="preserve"> </w:t>
      </w:r>
      <w:proofErr w:type="spellStart"/>
      <w:r w:rsidRPr="00A031C0">
        <w:rPr>
          <w:rFonts w:ascii="Verdana" w:hAnsi="Verdana"/>
          <w:i/>
          <w:iCs/>
          <w:sz w:val="20"/>
          <w:szCs w:val="20"/>
        </w:rPr>
        <w:t>Economic</w:t>
      </w:r>
      <w:proofErr w:type="spellEnd"/>
      <w:r w:rsidRPr="00A031C0">
        <w:rPr>
          <w:rFonts w:ascii="Verdana" w:hAnsi="Verdana"/>
          <w:i/>
          <w:iCs/>
          <w:sz w:val="20"/>
          <w:szCs w:val="20"/>
        </w:rPr>
        <w:t xml:space="preserve"> </w:t>
      </w:r>
      <w:proofErr w:type="spellStart"/>
      <w:r w:rsidRPr="00A031C0">
        <w:rPr>
          <w:rFonts w:ascii="Verdana" w:hAnsi="Verdana"/>
          <w:i/>
          <w:iCs/>
          <w:sz w:val="20"/>
          <w:szCs w:val="20"/>
        </w:rPr>
        <w:t>Journal</w:t>
      </w:r>
      <w:proofErr w:type="spellEnd"/>
      <w:r w:rsidRPr="00A031C0">
        <w:rPr>
          <w:rFonts w:ascii="Verdana" w:hAnsi="Verdana"/>
          <w:sz w:val="20"/>
          <w:szCs w:val="20"/>
        </w:rPr>
        <w:t xml:space="preserve">, </w:t>
      </w:r>
      <w:r w:rsidRPr="00A031C0">
        <w:rPr>
          <w:rFonts w:ascii="Verdana" w:hAnsi="Verdana"/>
          <w:i/>
          <w:iCs/>
          <w:sz w:val="20"/>
          <w:szCs w:val="20"/>
        </w:rPr>
        <w:t>124</w:t>
      </w:r>
      <w:r w:rsidRPr="00A031C0">
        <w:rPr>
          <w:rFonts w:ascii="Verdana" w:hAnsi="Verdana"/>
          <w:sz w:val="20"/>
          <w:szCs w:val="20"/>
        </w:rPr>
        <w:t xml:space="preserve">(576), 480-506. </w:t>
      </w:r>
      <w:hyperlink r:id="rId13" w:history="1">
        <w:r w:rsidRPr="00A031C0">
          <w:rPr>
            <w:rStyle w:val="Hipervnculo"/>
            <w:rFonts w:ascii="Verdana" w:hAnsi="Verdana"/>
            <w:sz w:val="20"/>
            <w:szCs w:val="20"/>
          </w:rPr>
          <w:t>https://doi.org/10.1111/ecoj.12137</w:t>
        </w:r>
      </w:hyperlink>
    </w:p>
    <w:p w14:paraId="5A6EEBF5" w14:textId="6604698B" w:rsidR="007F410D" w:rsidRPr="00A031C0" w:rsidRDefault="007F410D" w:rsidP="00A031C0">
      <w:pPr>
        <w:spacing w:before="120" w:after="120"/>
        <w:ind w:left="709" w:hanging="709"/>
        <w:jc w:val="both"/>
        <w:rPr>
          <w:rFonts w:ascii="Verdana" w:hAnsi="Verdana"/>
          <w:sz w:val="20"/>
          <w:szCs w:val="20"/>
        </w:rPr>
      </w:pPr>
      <w:r w:rsidRPr="00A031C0">
        <w:rPr>
          <w:rFonts w:ascii="Verdana" w:hAnsi="Verdana"/>
          <w:sz w:val="20"/>
          <w:szCs w:val="20"/>
        </w:rPr>
        <w:t xml:space="preserve">Boman IV, J. H., &amp; </w:t>
      </w:r>
      <w:proofErr w:type="spellStart"/>
      <w:r w:rsidRPr="00A031C0">
        <w:rPr>
          <w:rFonts w:ascii="Verdana" w:hAnsi="Verdana"/>
          <w:sz w:val="20"/>
          <w:szCs w:val="20"/>
        </w:rPr>
        <w:t>Gallupe</w:t>
      </w:r>
      <w:proofErr w:type="spellEnd"/>
      <w:r w:rsidRPr="00A031C0">
        <w:rPr>
          <w:rFonts w:ascii="Verdana" w:hAnsi="Verdana"/>
          <w:sz w:val="20"/>
          <w:szCs w:val="20"/>
        </w:rPr>
        <w:t xml:space="preserve">, O. (2020). Has COVID-19 </w:t>
      </w:r>
      <w:proofErr w:type="spellStart"/>
      <w:r w:rsidRPr="00A031C0">
        <w:rPr>
          <w:rFonts w:ascii="Verdana" w:hAnsi="Verdana"/>
          <w:sz w:val="20"/>
          <w:szCs w:val="20"/>
        </w:rPr>
        <w:t>changed</w:t>
      </w:r>
      <w:proofErr w:type="spellEnd"/>
      <w:r w:rsidRPr="00A031C0">
        <w:rPr>
          <w:rFonts w:ascii="Verdana" w:hAnsi="Verdana"/>
          <w:sz w:val="20"/>
          <w:szCs w:val="20"/>
        </w:rPr>
        <w:t xml:space="preserve"> </w:t>
      </w:r>
      <w:proofErr w:type="spellStart"/>
      <w:r w:rsidRPr="00A031C0">
        <w:rPr>
          <w:rFonts w:ascii="Verdana" w:hAnsi="Verdana"/>
          <w:sz w:val="20"/>
          <w:szCs w:val="20"/>
        </w:rPr>
        <w:t>crime</w:t>
      </w:r>
      <w:proofErr w:type="spellEnd"/>
      <w:r w:rsidRPr="00A031C0">
        <w:rPr>
          <w:rFonts w:ascii="Verdana" w:hAnsi="Verdana"/>
          <w:sz w:val="20"/>
          <w:szCs w:val="20"/>
        </w:rPr>
        <w:t xml:space="preserve">? </w:t>
      </w:r>
      <w:proofErr w:type="spellStart"/>
      <w:r w:rsidRPr="00A031C0">
        <w:rPr>
          <w:rFonts w:ascii="Verdana" w:hAnsi="Verdana"/>
          <w:sz w:val="20"/>
          <w:szCs w:val="20"/>
        </w:rPr>
        <w:t>Crime</w:t>
      </w:r>
      <w:proofErr w:type="spellEnd"/>
      <w:r w:rsidRPr="00A031C0">
        <w:rPr>
          <w:rFonts w:ascii="Verdana" w:hAnsi="Verdana"/>
          <w:sz w:val="20"/>
          <w:szCs w:val="20"/>
        </w:rPr>
        <w:t xml:space="preserve"> </w:t>
      </w:r>
      <w:proofErr w:type="spellStart"/>
      <w:r w:rsidRPr="00A031C0">
        <w:rPr>
          <w:rFonts w:ascii="Verdana" w:hAnsi="Verdana"/>
          <w:sz w:val="20"/>
          <w:szCs w:val="20"/>
        </w:rPr>
        <w:t>rates</w:t>
      </w:r>
      <w:proofErr w:type="spellEnd"/>
      <w:r w:rsidRPr="00A031C0">
        <w:rPr>
          <w:rFonts w:ascii="Verdana" w:hAnsi="Verdana"/>
          <w:sz w:val="20"/>
          <w:szCs w:val="20"/>
        </w:rPr>
        <w:t xml:space="preserve"> in </w:t>
      </w:r>
      <w:proofErr w:type="spellStart"/>
      <w:r w:rsidRPr="00A031C0">
        <w:rPr>
          <w:rFonts w:ascii="Verdana" w:hAnsi="Verdana"/>
          <w:sz w:val="20"/>
          <w:szCs w:val="20"/>
        </w:rPr>
        <w:t>the</w:t>
      </w:r>
      <w:proofErr w:type="spellEnd"/>
      <w:r w:rsidRPr="00A031C0">
        <w:rPr>
          <w:rFonts w:ascii="Verdana" w:hAnsi="Verdana"/>
          <w:sz w:val="20"/>
          <w:szCs w:val="20"/>
        </w:rPr>
        <w:t xml:space="preserve"> </w:t>
      </w:r>
      <w:proofErr w:type="spellStart"/>
      <w:r w:rsidRPr="00A031C0">
        <w:rPr>
          <w:rFonts w:ascii="Verdana" w:hAnsi="Verdana"/>
          <w:sz w:val="20"/>
          <w:szCs w:val="20"/>
        </w:rPr>
        <w:t>United</w:t>
      </w:r>
      <w:proofErr w:type="spellEnd"/>
      <w:r w:rsidRPr="00A031C0">
        <w:rPr>
          <w:rFonts w:ascii="Verdana" w:hAnsi="Verdana"/>
          <w:sz w:val="20"/>
          <w:szCs w:val="20"/>
        </w:rPr>
        <w:t xml:space="preserve"> </w:t>
      </w:r>
      <w:proofErr w:type="spellStart"/>
      <w:r w:rsidRPr="00A031C0">
        <w:rPr>
          <w:rFonts w:ascii="Verdana" w:hAnsi="Verdana"/>
          <w:sz w:val="20"/>
          <w:szCs w:val="20"/>
        </w:rPr>
        <w:t>States</w:t>
      </w:r>
      <w:proofErr w:type="spellEnd"/>
      <w:r w:rsidRPr="00A031C0">
        <w:rPr>
          <w:rFonts w:ascii="Verdana" w:hAnsi="Verdana"/>
          <w:sz w:val="20"/>
          <w:szCs w:val="20"/>
        </w:rPr>
        <w:t xml:space="preserve"> </w:t>
      </w:r>
      <w:proofErr w:type="spellStart"/>
      <w:r w:rsidRPr="00A031C0">
        <w:rPr>
          <w:rFonts w:ascii="Verdana" w:hAnsi="Verdana"/>
          <w:sz w:val="20"/>
          <w:szCs w:val="20"/>
        </w:rPr>
        <w:t>during</w:t>
      </w:r>
      <w:proofErr w:type="spellEnd"/>
      <w:r w:rsidRPr="00A031C0">
        <w:rPr>
          <w:rFonts w:ascii="Verdana" w:hAnsi="Verdana"/>
          <w:sz w:val="20"/>
          <w:szCs w:val="20"/>
        </w:rPr>
        <w:t xml:space="preserve"> </w:t>
      </w:r>
      <w:proofErr w:type="spellStart"/>
      <w:r w:rsidRPr="00A031C0">
        <w:rPr>
          <w:rFonts w:ascii="Verdana" w:hAnsi="Verdana"/>
          <w:sz w:val="20"/>
          <w:szCs w:val="20"/>
        </w:rPr>
        <w:t>the</w:t>
      </w:r>
      <w:proofErr w:type="spellEnd"/>
      <w:r w:rsidRPr="00A031C0">
        <w:rPr>
          <w:rFonts w:ascii="Verdana" w:hAnsi="Verdana"/>
          <w:sz w:val="20"/>
          <w:szCs w:val="20"/>
        </w:rPr>
        <w:t xml:space="preserve"> </w:t>
      </w:r>
      <w:proofErr w:type="spellStart"/>
      <w:r w:rsidRPr="00A031C0">
        <w:rPr>
          <w:rFonts w:ascii="Verdana" w:hAnsi="Verdana"/>
          <w:sz w:val="20"/>
          <w:szCs w:val="20"/>
        </w:rPr>
        <w:t>pandemic</w:t>
      </w:r>
      <w:proofErr w:type="spellEnd"/>
      <w:r w:rsidRPr="00A031C0">
        <w:rPr>
          <w:rFonts w:ascii="Verdana" w:hAnsi="Verdana"/>
          <w:sz w:val="20"/>
          <w:szCs w:val="20"/>
        </w:rPr>
        <w:t xml:space="preserve">. </w:t>
      </w:r>
      <w:r w:rsidRPr="00A031C0">
        <w:rPr>
          <w:rFonts w:ascii="Verdana" w:hAnsi="Verdana"/>
          <w:i/>
          <w:iCs/>
          <w:sz w:val="20"/>
          <w:szCs w:val="20"/>
        </w:rPr>
        <w:t xml:space="preserve">American </w:t>
      </w:r>
      <w:proofErr w:type="spellStart"/>
      <w:r w:rsidRPr="00A031C0">
        <w:rPr>
          <w:rFonts w:ascii="Verdana" w:hAnsi="Verdana"/>
          <w:i/>
          <w:iCs/>
          <w:sz w:val="20"/>
          <w:szCs w:val="20"/>
        </w:rPr>
        <w:t>journal</w:t>
      </w:r>
      <w:proofErr w:type="spellEnd"/>
      <w:r w:rsidRPr="00A031C0">
        <w:rPr>
          <w:rFonts w:ascii="Verdana" w:hAnsi="Verdana"/>
          <w:i/>
          <w:iCs/>
          <w:sz w:val="20"/>
          <w:szCs w:val="20"/>
        </w:rPr>
        <w:t xml:space="preserve"> of criminal </w:t>
      </w:r>
      <w:proofErr w:type="spellStart"/>
      <w:r w:rsidRPr="00A031C0">
        <w:rPr>
          <w:rFonts w:ascii="Verdana" w:hAnsi="Verdana"/>
          <w:i/>
          <w:iCs/>
          <w:sz w:val="20"/>
          <w:szCs w:val="20"/>
        </w:rPr>
        <w:t>justice</w:t>
      </w:r>
      <w:proofErr w:type="spellEnd"/>
      <w:r w:rsidRPr="00A031C0">
        <w:rPr>
          <w:rFonts w:ascii="Verdana" w:hAnsi="Verdana"/>
          <w:sz w:val="20"/>
          <w:szCs w:val="20"/>
        </w:rPr>
        <w:t xml:space="preserve">, </w:t>
      </w:r>
      <w:r w:rsidRPr="00A031C0">
        <w:rPr>
          <w:rFonts w:ascii="Verdana" w:hAnsi="Verdana"/>
          <w:i/>
          <w:iCs/>
          <w:sz w:val="20"/>
          <w:szCs w:val="20"/>
        </w:rPr>
        <w:t>45</w:t>
      </w:r>
      <w:r w:rsidRPr="00A031C0">
        <w:rPr>
          <w:rFonts w:ascii="Verdana" w:hAnsi="Verdana"/>
          <w:sz w:val="20"/>
          <w:szCs w:val="20"/>
        </w:rPr>
        <w:t xml:space="preserve">(4), 537-545. </w:t>
      </w:r>
      <w:hyperlink r:id="rId14" w:history="1">
        <w:r w:rsidRPr="00A031C0">
          <w:rPr>
            <w:rStyle w:val="Hipervnculo"/>
            <w:rFonts w:ascii="Verdana" w:hAnsi="Verdana"/>
            <w:sz w:val="20"/>
            <w:szCs w:val="20"/>
          </w:rPr>
          <w:t>https://doi.org/10.1007/s12103-020-09551-3</w:t>
        </w:r>
      </w:hyperlink>
    </w:p>
    <w:p w14:paraId="30897098" w14:textId="0B3FECC8" w:rsidR="007F410D" w:rsidRPr="00A031C0" w:rsidRDefault="007F410D" w:rsidP="00A031C0">
      <w:pPr>
        <w:spacing w:before="120" w:after="120"/>
        <w:ind w:left="709" w:hanging="709"/>
        <w:jc w:val="both"/>
        <w:rPr>
          <w:rFonts w:ascii="Verdana" w:hAnsi="Verdana"/>
          <w:sz w:val="20"/>
          <w:szCs w:val="20"/>
        </w:rPr>
      </w:pPr>
      <w:r w:rsidRPr="00A031C0">
        <w:rPr>
          <w:rFonts w:ascii="Verdana" w:hAnsi="Verdana"/>
          <w:sz w:val="20"/>
          <w:szCs w:val="20"/>
        </w:rPr>
        <w:t xml:space="preserve">Bowman, B., Kramer, S., Salau, S., &amp; </w:t>
      </w:r>
      <w:proofErr w:type="spellStart"/>
      <w:r w:rsidRPr="00A031C0">
        <w:rPr>
          <w:rFonts w:ascii="Verdana" w:hAnsi="Verdana"/>
          <w:sz w:val="20"/>
          <w:szCs w:val="20"/>
        </w:rPr>
        <w:t>Matzopoulos</w:t>
      </w:r>
      <w:proofErr w:type="spellEnd"/>
      <w:r w:rsidRPr="00A031C0">
        <w:rPr>
          <w:rFonts w:ascii="Verdana" w:hAnsi="Verdana"/>
          <w:sz w:val="20"/>
          <w:szCs w:val="20"/>
        </w:rPr>
        <w:t xml:space="preserve">, R. (2024). </w:t>
      </w:r>
      <w:proofErr w:type="spellStart"/>
      <w:r w:rsidRPr="00A031C0">
        <w:rPr>
          <w:rFonts w:ascii="Verdana" w:hAnsi="Verdana"/>
          <w:sz w:val="20"/>
          <w:szCs w:val="20"/>
        </w:rPr>
        <w:t>Trends</w:t>
      </w:r>
      <w:proofErr w:type="spellEnd"/>
      <w:r w:rsidRPr="00A031C0">
        <w:rPr>
          <w:rFonts w:ascii="Verdana" w:hAnsi="Verdana"/>
          <w:sz w:val="20"/>
          <w:szCs w:val="20"/>
        </w:rPr>
        <w:t xml:space="preserve">, </w:t>
      </w:r>
      <w:proofErr w:type="spellStart"/>
      <w:r w:rsidRPr="00A031C0">
        <w:rPr>
          <w:rFonts w:ascii="Verdana" w:hAnsi="Verdana"/>
          <w:sz w:val="20"/>
          <w:szCs w:val="20"/>
        </w:rPr>
        <w:t>correlates</w:t>
      </w:r>
      <w:proofErr w:type="spellEnd"/>
      <w:r w:rsidRPr="00A031C0">
        <w:rPr>
          <w:rFonts w:ascii="Verdana" w:hAnsi="Verdana"/>
          <w:sz w:val="20"/>
          <w:szCs w:val="20"/>
        </w:rPr>
        <w:t xml:space="preserve">, and </w:t>
      </w:r>
      <w:proofErr w:type="spellStart"/>
      <w:r w:rsidRPr="00A031C0">
        <w:rPr>
          <w:rFonts w:ascii="Verdana" w:hAnsi="Verdana"/>
          <w:sz w:val="20"/>
          <w:szCs w:val="20"/>
        </w:rPr>
        <w:t>contexts</w:t>
      </w:r>
      <w:proofErr w:type="spellEnd"/>
      <w:r w:rsidRPr="00A031C0">
        <w:rPr>
          <w:rFonts w:ascii="Verdana" w:hAnsi="Verdana"/>
          <w:sz w:val="20"/>
          <w:szCs w:val="20"/>
        </w:rPr>
        <w:t xml:space="preserve"> of </w:t>
      </w:r>
      <w:proofErr w:type="spellStart"/>
      <w:r w:rsidRPr="00A031C0">
        <w:rPr>
          <w:rFonts w:ascii="Verdana" w:hAnsi="Verdana"/>
          <w:sz w:val="20"/>
          <w:szCs w:val="20"/>
        </w:rPr>
        <w:t>robbery-homicide</w:t>
      </w:r>
      <w:proofErr w:type="spellEnd"/>
      <w:r w:rsidRPr="00A031C0">
        <w:rPr>
          <w:rFonts w:ascii="Verdana" w:hAnsi="Verdana"/>
          <w:sz w:val="20"/>
          <w:szCs w:val="20"/>
        </w:rPr>
        <w:t xml:space="preserve"> in South Africa. </w:t>
      </w:r>
      <w:proofErr w:type="spellStart"/>
      <w:r w:rsidRPr="00A031C0">
        <w:rPr>
          <w:rFonts w:ascii="Verdana" w:hAnsi="Verdana"/>
          <w:i/>
          <w:iCs/>
          <w:sz w:val="20"/>
          <w:szCs w:val="20"/>
        </w:rPr>
        <w:t>Homicide</w:t>
      </w:r>
      <w:proofErr w:type="spellEnd"/>
      <w:r w:rsidRPr="00A031C0">
        <w:rPr>
          <w:rFonts w:ascii="Verdana" w:hAnsi="Verdana"/>
          <w:i/>
          <w:iCs/>
          <w:sz w:val="20"/>
          <w:szCs w:val="20"/>
        </w:rPr>
        <w:t xml:space="preserve"> </w:t>
      </w:r>
      <w:proofErr w:type="spellStart"/>
      <w:r w:rsidRPr="00A031C0">
        <w:rPr>
          <w:rFonts w:ascii="Verdana" w:hAnsi="Verdana"/>
          <w:i/>
          <w:iCs/>
          <w:sz w:val="20"/>
          <w:szCs w:val="20"/>
        </w:rPr>
        <w:t>studies</w:t>
      </w:r>
      <w:proofErr w:type="spellEnd"/>
      <w:r w:rsidRPr="00A031C0">
        <w:rPr>
          <w:rFonts w:ascii="Verdana" w:hAnsi="Verdana"/>
          <w:sz w:val="20"/>
          <w:szCs w:val="20"/>
        </w:rPr>
        <w:t xml:space="preserve">, </w:t>
      </w:r>
      <w:r w:rsidRPr="00A031C0">
        <w:rPr>
          <w:rFonts w:ascii="Verdana" w:hAnsi="Verdana"/>
          <w:i/>
          <w:iCs/>
          <w:sz w:val="20"/>
          <w:szCs w:val="20"/>
        </w:rPr>
        <w:t>28</w:t>
      </w:r>
      <w:r w:rsidRPr="00A031C0">
        <w:rPr>
          <w:rFonts w:ascii="Verdana" w:hAnsi="Verdana"/>
          <w:sz w:val="20"/>
          <w:szCs w:val="20"/>
        </w:rPr>
        <w:t xml:space="preserve">(1), 27-51. </w:t>
      </w:r>
      <w:hyperlink r:id="rId15" w:history="1">
        <w:r w:rsidRPr="00A031C0">
          <w:rPr>
            <w:rStyle w:val="Hipervnculo"/>
            <w:rFonts w:ascii="Verdana" w:hAnsi="Verdana"/>
            <w:sz w:val="20"/>
            <w:szCs w:val="20"/>
          </w:rPr>
          <w:t>https://doi.org/10.1177/1088767921107023</w:t>
        </w:r>
      </w:hyperlink>
    </w:p>
    <w:p w14:paraId="55355CC8" w14:textId="65D9FDA8" w:rsidR="00B055EF" w:rsidRPr="00A031C0" w:rsidRDefault="007F410D" w:rsidP="00A031C0">
      <w:pPr>
        <w:spacing w:before="120" w:after="120"/>
        <w:ind w:left="709" w:hanging="709"/>
        <w:jc w:val="both"/>
        <w:rPr>
          <w:rFonts w:ascii="Verdana" w:hAnsi="Verdana"/>
          <w:sz w:val="20"/>
          <w:szCs w:val="20"/>
        </w:rPr>
      </w:pPr>
      <w:r w:rsidRPr="00A031C0">
        <w:rPr>
          <w:rFonts w:ascii="Verdana" w:hAnsi="Verdana"/>
          <w:sz w:val="20"/>
          <w:szCs w:val="20"/>
        </w:rPr>
        <w:lastRenderedPageBreak/>
        <w:t xml:space="preserve">Bravo Acevedo, G. (2024). Migraciones, narcotráfico y frontera. La situación en la macrozona norte de Chile. 2020-2022. </w:t>
      </w:r>
      <w:r w:rsidRPr="00A031C0">
        <w:rPr>
          <w:rFonts w:ascii="Verdana" w:hAnsi="Verdana"/>
          <w:i/>
          <w:iCs/>
          <w:sz w:val="20"/>
          <w:szCs w:val="20"/>
        </w:rPr>
        <w:t>Diálogo andino</w:t>
      </w:r>
      <w:r w:rsidRPr="00A031C0">
        <w:rPr>
          <w:rFonts w:ascii="Verdana" w:hAnsi="Verdana"/>
          <w:sz w:val="20"/>
          <w:szCs w:val="20"/>
        </w:rPr>
        <w:t xml:space="preserve">, (73), 128-140. </w:t>
      </w:r>
      <w:hyperlink r:id="rId16" w:history="1">
        <w:r w:rsidR="00A47E28" w:rsidRPr="00A031C0">
          <w:rPr>
            <w:rStyle w:val="Hipervnculo"/>
            <w:rFonts w:ascii="Verdana" w:hAnsi="Verdana"/>
            <w:sz w:val="20"/>
            <w:szCs w:val="20"/>
          </w:rPr>
          <w:t>https://dx.doi.org/10.4067/S0719-26812024000100128</w:t>
        </w:r>
      </w:hyperlink>
    </w:p>
    <w:p w14:paraId="50CF4604" w14:textId="31FD59F6" w:rsidR="003371B7" w:rsidRPr="00A031C0" w:rsidRDefault="003371B7" w:rsidP="00A031C0">
      <w:pPr>
        <w:spacing w:before="120" w:after="120"/>
        <w:ind w:left="709" w:hanging="709"/>
        <w:jc w:val="both"/>
        <w:rPr>
          <w:rFonts w:ascii="Verdana" w:hAnsi="Verdana"/>
          <w:sz w:val="20"/>
          <w:szCs w:val="20"/>
        </w:rPr>
      </w:pPr>
      <w:r w:rsidRPr="00A031C0">
        <w:rPr>
          <w:rFonts w:ascii="Verdana" w:hAnsi="Verdana"/>
          <w:sz w:val="20"/>
          <w:szCs w:val="20"/>
        </w:rPr>
        <w:t xml:space="preserve">Cohen, L. E., &amp; Felson, M. (1979). Social </w:t>
      </w:r>
      <w:proofErr w:type="spellStart"/>
      <w:r w:rsidRPr="00A031C0">
        <w:rPr>
          <w:rFonts w:ascii="Verdana" w:hAnsi="Verdana"/>
          <w:sz w:val="20"/>
          <w:szCs w:val="20"/>
        </w:rPr>
        <w:t>change</w:t>
      </w:r>
      <w:proofErr w:type="spellEnd"/>
      <w:r w:rsidRPr="00A031C0">
        <w:rPr>
          <w:rFonts w:ascii="Verdana" w:hAnsi="Verdana"/>
          <w:sz w:val="20"/>
          <w:szCs w:val="20"/>
        </w:rPr>
        <w:t xml:space="preserve"> and </w:t>
      </w:r>
      <w:proofErr w:type="spellStart"/>
      <w:r w:rsidRPr="00A031C0">
        <w:rPr>
          <w:rFonts w:ascii="Verdana" w:hAnsi="Verdana"/>
          <w:sz w:val="20"/>
          <w:szCs w:val="20"/>
        </w:rPr>
        <w:t>crime</w:t>
      </w:r>
      <w:proofErr w:type="spellEnd"/>
      <w:r w:rsidRPr="00A031C0">
        <w:rPr>
          <w:rFonts w:ascii="Verdana" w:hAnsi="Verdana"/>
          <w:sz w:val="20"/>
          <w:szCs w:val="20"/>
        </w:rPr>
        <w:t xml:space="preserve"> </w:t>
      </w:r>
      <w:proofErr w:type="spellStart"/>
      <w:r w:rsidRPr="00A031C0">
        <w:rPr>
          <w:rFonts w:ascii="Verdana" w:hAnsi="Verdana"/>
          <w:sz w:val="20"/>
          <w:szCs w:val="20"/>
        </w:rPr>
        <w:t>rate</w:t>
      </w:r>
      <w:proofErr w:type="spellEnd"/>
      <w:r w:rsidRPr="00A031C0">
        <w:rPr>
          <w:rFonts w:ascii="Verdana" w:hAnsi="Verdana"/>
          <w:sz w:val="20"/>
          <w:szCs w:val="20"/>
        </w:rPr>
        <w:t xml:space="preserve"> </w:t>
      </w:r>
      <w:proofErr w:type="spellStart"/>
      <w:r w:rsidRPr="00A031C0">
        <w:rPr>
          <w:rFonts w:ascii="Verdana" w:hAnsi="Verdana"/>
          <w:sz w:val="20"/>
          <w:szCs w:val="20"/>
        </w:rPr>
        <w:t>trends</w:t>
      </w:r>
      <w:proofErr w:type="spellEnd"/>
      <w:r w:rsidRPr="00A031C0">
        <w:rPr>
          <w:rFonts w:ascii="Verdana" w:hAnsi="Verdana"/>
          <w:sz w:val="20"/>
          <w:szCs w:val="20"/>
        </w:rPr>
        <w:t xml:space="preserve">: A </w:t>
      </w:r>
      <w:proofErr w:type="spellStart"/>
      <w:r w:rsidRPr="00A031C0">
        <w:rPr>
          <w:rFonts w:ascii="Verdana" w:hAnsi="Verdana"/>
          <w:sz w:val="20"/>
          <w:szCs w:val="20"/>
        </w:rPr>
        <w:t>routine</w:t>
      </w:r>
      <w:proofErr w:type="spellEnd"/>
      <w:r w:rsidRPr="00A031C0">
        <w:rPr>
          <w:rFonts w:ascii="Verdana" w:hAnsi="Verdana"/>
          <w:sz w:val="20"/>
          <w:szCs w:val="20"/>
        </w:rPr>
        <w:t xml:space="preserve"> </w:t>
      </w:r>
      <w:proofErr w:type="spellStart"/>
      <w:r w:rsidRPr="00A031C0">
        <w:rPr>
          <w:rFonts w:ascii="Verdana" w:hAnsi="Verdana"/>
          <w:sz w:val="20"/>
          <w:szCs w:val="20"/>
        </w:rPr>
        <w:t>activity</w:t>
      </w:r>
      <w:proofErr w:type="spellEnd"/>
      <w:r w:rsidRPr="00A031C0">
        <w:rPr>
          <w:rFonts w:ascii="Verdana" w:hAnsi="Verdana"/>
          <w:sz w:val="20"/>
          <w:szCs w:val="20"/>
        </w:rPr>
        <w:t xml:space="preserve"> </w:t>
      </w:r>
      <w:proofErr w:type="spellStart"/>
      <w:r w:rsidRPr="00A031C0">
        <w:rPr>
          <w:rFonts w:ascii="Verdana" w:hAnsi="Verdana"/>
          <w:sz w:val="20"/>
          <w:szCs w:val="20"/>
        </w:rPr>
        <w:t>approach</w:t>
      </w:r>
      <w:proofErr w:type="spellEnd"/>
      <w:r w:rsidRPr="00A031C0">
        <w:rPr>
          <w:rFonts w:ascii="Verdana" w:hAnsi="Verdana"/>
          <w:sz w:val="20"/>
          <w:szCs w:val="20"/>
        </w:rPr>
        <w:t xml:space="preserve">. </w:t>
      </w:r>
      <w:r w:rsidRPr="00A031C0">
        <w:rPr>
          <w:rFonts w:ascii="Verdana" w:hAnsi="Verdana"/>
          <w:i/>
          <w:iCs/>
          <w:sz w:val="20"/>
          <w:szCs w:val="20"/>
        </w:rPr>
        <w:t xml:space="preserve">American </w:t>
      </w:r>
      <w:proofErr w:type="spellStart"/>
      <w:r w:rsidRPr="00A031C0">
        <w:rPr>
          <w:rFonts w:ascii="Verdana" w:hAnsi="Verdana"/>
          <w:i/>
          <w:iCs/>
          <w:sz w:val="20"/>
          <w:szCs w:val="20"/>
        </w:rPr>
        <w:t>sociological</w:t>
      </w:r>
      <w:proofErr w:type="spellEnd"/>
      <w:r w:rsidRPr="00A031C0">
        <w:rPr>
          <w:rFonts w:ascii="Verdana" w:hAnsi="Verdana"/>
          <w:i/>
          <w:iCs/>
          <w:sz w:val="20"/>
          <w:szCs w:val="20"/>
        </w:rPr>
        <w:t xml:space="preserve"> </w:t>
      </w:r>
      <w:proofErr w:type="spellStart"/>
      <w:r w:rsidRPr="00A031C0">
        <w:rPr>
          <w:rFonts w:ascii="Verdana" w:hAnsi="Verdana"/>
          <w:i/>
          <w:iCs/>
          <w:sz w:val="20"/>
          <w:szCs w:val="20"/>
        </w:rPr>
        <w:t>review</w:t>
      </w:r>
      <w:proofErr w:type="spellEnd"/>
      <w:r w:rsidRPr="00A031C0">
        <w:rPr>
          <w:rFonts w:ascii="Verdana" w:hAnsi="Verdana"/>
          <w:sz w:val="20"/>
          <w:szCs w:val="20"/>
        </w:rPr>
        <w:t xml:space="preserve">, 588-608. </w:t>
      </w:r>
      <w:hyperlink r:id="rId17" w:history="1">
        <w:r w:rsidRPr="00A031C0">
          <w:rPr>
            <w:rStyle w:val="Hipervnculo"/>
            <w:rFonts w:ascii="Verdana" w:hAnsi="Verdana"/>
            <w:sz w:val="20"/>
            <w:szCs w:val="20"/>
          </w:rPr>
          <w:t>https://doi.org/10.2307/2094589</w:t>
        </w:r>
      </w:hyperlink>
    </w:p>
    <w:p w14:paraId="391B71FA" w14:textId="1B6CAF82" w:rsidR="00A47E28" w:rsidRPr="00A031C0" w:rsidRDefault="00A47E28" w:rsidP="00A031C0">
      <w:pPr>
        <w:spacing w:before="120" w:after="120"/>
        <w:ind w:left="709" w:hanging="709"/>
        <w:jc w:val="both"/>
        <w:rPr>
          <w:rFonts w:ascii="Verdana" w:hAnsi="Verdana"/>
          <w:sz w:val="20"/>
          <w:szCs w:val="20"/>
        </w:rPr>
      </w:pPr>
      <w:r w:rsidRPr="00A031C0">
        <w:rPr>
          <w:rFonts w:ascii="Verdana" w:hAnsi="Verdana"/>
          <w:sz w:val="20"/>
          <w:szCs w:val="20"/>
        </w:rPr>
        <w:t xml:space="preserve">Crespo, F., y Lay, C. (2023). Una década en Chile: Análisis de homicidios, abusos sexuales y robos con intimidación desde 2010 a 2022. </w:t>
      </w:r>
      <w:r w:rsidRPr="00A031C0">
        <w:rPr>
          <w:rFonts w:ascii="Verdana" w:hAnsi="Verdana"/>
          <w:i/>
          <w:iCs/>
          <w:sz w:val="20"/>
          <w:szCs w:val="20"/>
        </w:rPr>
        <w:t>Observatorio Económico</w:t>
      </w:r>
      <w:r w:rsidRPr="00A031C0">
        <w:rPr>
          <w:rFonts w:ascii="Verdana" w:hAnsi="Verdana"/>
          <w:sz w:val="20"/>
          <w:szCs w:val="20"/>
        </w:rPr>
        <w:t xml:space="preserve">, (184), 5-13. </w:t>
      </w:r>
      <w:hyperlink r:id="rId18" w:history="1">
        <w:r w:rsidRPr="00A031C0">
          <w:rPr>
            <w:rStyle w:val="Hipervnculo"/>
            <w:rFonts w:ascii="Verdana" w:hAnsi="Verdana"/>
            <w:sz w:val="20"/>
            <w:szCs w:val="20"/>
          </w:rPr>
          <w:t>https://doi.org/10.11565/oe.v1i184.535</w:t>
        </w:r>
      </w:hyperlink>
    </w:p>
    <w:p w14:paraId="3FC78BBF" w14:textId="01B126C9" w:rsidR="00A47E28" w:rsidRPr="00A031C0" w:rsidRDefault="00A47E28" w:rsidP="00A031C0">
      <w:pPr>
        <w:spacing w:before="120" w:after="120"/>
        <w:ind w:left="709" w:hanging="709"/>
        <w:jc w:val="both"/>
        <w:rPr>
          <w:rFonts w:ascii="Verdana" w:hAnsi="Verdana"/>
          <w:sz w:val="20"/>
          <w:szCs w:val="20"/>
        </w:rPr>
      </w:pPr>
      <w:r w:rsidRPr="00A031C0">
        <w:rPr>
          <w:rFonts w:ascii="Verdana" w:hAnsi="Verdana"/>
          <w:sz w:val="20"/>
          <w:szCs w:val="20"/>
        </w:rPr>
        <w:t xml:space="preserve">Dammert, L., Frey, A., &amp; González, P. (2025). Concentración territorial de Homicidios, Secuestros y Extorsiones: El caso de la Región Metropolitana de Santiago de Chile. </w:t>
      </w:r>
      <w:r w:rsidRPr="00A031C0">
        <w:rPr>
          <w:rFonts w:ascii="Verdana" w:hAnsi="Verdana"/>
          <w:i/>
          <w:iCs/>
          <w:sz w:val="20"/>
          <w:szCs w:val="20"/>
        </w:rPr>
        <w:t>Política criminal</w:t>
      </w:r>
      <w:r w:rsidRPr="00A031C0">
        <w:rPr>
          <w:rFonts w:ascii="Verdana" w:hAnsi="Verdana"/>
          <w:sz w:val="20"/>
          <w:szCs w:val="20"/>
        </w:rPr>
        <w:t xml:space="preserve">, </w:t>
      </w:r>
      <w:r w:rsidRPr="00A031C0">
        <w:rPr>
          <w:rFonts w:ascii="Verdana" w:hAnsi="Verdana"/>
          <w:i/>
          <w:iCs/>
          <w:sz w:val="20"/>
          <w:szCs w:val="20"/>
        </w:rPr>
        <w:t>20</w:t>
      </w:r>
      <w:r w:rsidRPr="00A031C0">
        <w:rPr>
          <w:rFonts w:ascii="Verdana" w:hAnsi="Verdana"/>
          <w:sz w:val="20"/>
          <w:szCs w:val="20"/>
        </w:rPr>
        <w:t xml:space="preserve">(40), 269-294. </w:t>
      </w:r>
      <w:hyperlink r:id="rId19" w:history="1">
        <w:r w:rsidRPr="00A031C0">
          <w:rPr>
            <w:rStyle w:val="Hipervnculo"/>
            <w:rFonts w:ascii="Verdana" w:hAnsi="Verdana"/>
            <w:sz w:val="20"/>
            <w:szCs w:val="20"/>
          </w:rPr>
          <w:t>https://dx.doi.org/10.4067/s0718-33992025000200269</w:t>
        </w:r>
      </w:hyperlink>
    </w:p>
    <w:p w14:paraId="3FCA8A85" w14:textId="37C938E0" w:rsidR="00A47E28" w:rsidRPr="00A031C0" w:rsidRDefault="00A47E28" w:rsidP="00A031C0">
      <w:pPr>
        <w:spacing w:before="120" w:after="120"/>
        <w:ind w:left="709" w:hanging="709"/>
        <w:jc w:val="both"/>
        <w:rPr>
          <w:rFonts w:ascii="Verdana" w:hAnsi="Verdana"/>
          <w:sz w:val="20"/>
          <w:szCs w:val="20"/>
        </w:rPr>
      </w:pPr>
      <w:r w:rsidRPr="00A031C0">
        <w:rPr>
          <w:rFonts w:ascii="Verdana" w:hAnsi="Verdana"/>
          <w:sz w:val="20"/>
          <w:szCs w:val="20"/>
        </w:rPr>
        <w:t xml:space="preserve">Domínguez, P., Duce, M., &amp; </w:t>
      </w:r>
      <w:proofErr w:type="spellStart"/>
      <w:r w:rsidRPr="00A031C0">
        <w:rPr>
          <w:rFonts w:ascii="Verdana" w:hAnsi="Verdana"/>
          <w:sz w:val="20"/>
          <w:szCs w:val="20"/>
        </w:rPr>
        <w:t>Fugellie</w:t>
      </w:r>
      <w:proofErr w:type="spellEnd"/>
      <w:r w:rsidRPr="00A031C0">
        <w:rPr>
          <w:rFonts w:ascii="Verdana" w:hAnsi="Verdana"/>
          <w:sz w:val="20"/>
          <w:szCs w:val="20"/>
        </w:rPr>
        <w:t xml:space="preserve">, R. (2024). Informe De Seguridad Pública: Una Mirad a Al Estado Actual De La Victimización En El País. </w:t>
      </w:r>
      <w:r w:rsidRPr="00A031C0">
        <w:rPr>
          <w:rFonts w:ascii="Verdana" w:hAnsi="Verdana"/>
          <w:i/>
          <w:iCs/>
          <w:sz w:val="20"/>
          <w:szCs w:val="20"/>
        </w:rPr>
        <w:t>Espacio Público</w:t>
      </w:r>
      <w:r w:rsidRPr="00A031C0">
        <w:rPr>
          <w:rFonts w:ascii="Verdana" w:hAnsi="Verdana"/>
          <w:sz w:val="20"/>
          <w:szCs w:val="20"/>
        </w:rPr>
        <w:t xml:space="preserve">. </w:t>
      </w:r>
      <w:hyperlink r:id="rId20" w:history="1">
        <w:r w:rsidRPr="00A031C0">
          <w:rPr>
            <w:rStyle w:val="Hipervnculo"/>
            <w:rFonts w:ascii="Verdana" w:hAnsi="Verdana"/>
            <w:sz w:val="20"/>
            <w:szCs w:val="20"/>
          </w:rPr>
          <w:t>https://espaciopublico.cl/nuestro_trabajo/informe-de-seguridad-publica-tendencias-recientes-en-crimen/</w:t>
        </w:r>
      </w:hyperlink>
    </w:p>
    <w:p w14:paraId="19ADBF6E" w14:textId="5541E292" w:rsidR="00B055EF" w:rsidRPr="00A031C0" w:rsidRDefault="00B055EF" w:rsidP="00A031C0">
      <w:pPr>
        <w:spacing w:before="120" w:after="120"/>
        <w:ind w:left="709" w:hanging="709"/>
        <w:jc w:val="both"/>
        <w:rPr>
          <w:rFonts w:ascii="Verdana" w:hAnsi="Verdana"/>
          <w:sz w:val="20"/>
          <w:szCs w:val="20"/>
        </w:rPr>
      </w:pPr>
      <w:r w:rsidRPr="00A031C0">
        <w:rPr>
          <w:rFonts w:ascii="Verdana" w:hAnsi="Verdana"/>
          <w:sz w:val="20"/>
          <w:szCs w:val="20"/>
        </w:rPr>
        <w:t xml:space="preserve">Gamarra, C., Rozas, J., Cardeiro, A., y Mascareño, A. (2024a). El lado oculto del delito. Aproximaciones al </w:t>
      </w:r>
      <w:proofErr w:type="spellStart"/>
      <w:r w:rsidRPr="00A031C0">
        <w:rPr>
          <w:rFonts w:ascii="Verdana" w:hAnsi="Verdana"/>
          <w:sz w:val="20"/>
          <w:szCs w:val="20"/>
        </w:rPr>
        <w:t>subreporte</w:t>
      </w:r>
      <w:proofErr w:type="spellEnd"/>
      <w:r w:rsidRPr="00A031C0">
        <w:rPr>
          <w:rFonts w:ascii="Verdana" w:hAnsi="Verdana"/>
          <w:sz w:val="20"/>
          <w:szCs w:val="20"/>
        </w:rPr>
        <w:t xml:space="preserve"> de la delincuencia en Chile. </w:t>
      </w:r>
      <w:r w:rsidRPr="00A031C0">
        <w:rPr>
          <w:rFonts w:ascii="Verdana" w:hAnsi="Verdana"/>
          <w:i/>
          <w:iCs/>
          <w:sz w:val="20"/>
          <w:szCs w:val="20"/>
        </w:rPr>
        <w:t xml:space="preserve">Puntos de Referencia, 711. </w:t>
      </w:r>
      <w:hyperlink r:id="rId21" w:history="1">
        <w:r w:rsidRPr="00A031C0">
          <w:rPr>
            <w:rStyle w:val="Hipervnculo"/>
            <w:rFonts w:ascii="Verdana" w:hAnsi="Verdana"/>
            <w:sz w:val="20"/>
            <w:szCs w:val="20"/>
          </w:rPr>
          <w:t>https://www.cepchile.cl/investigacion/el-lado-oculto-del-delito-aproximaciones-al-subreporte-de-la-delincuencia-en-chile/</w:t>
        </w:r>
      </w:hyperlink>
    </w:p>
    <w:p w14:paraId="4A9F28B9" w14:textId="2C11EFA5" w:rsidR="00A47E28" w:rsidRPr="00A031C0" w:rsidRDefault="00B055EF" w:rsidP="00A031C0">
      <w:pPr>
        <w:spacing w:before="120" w:after="120"/>
        <w:ind w:left="709" w:hanging="709"/>
        <w:jc w:val="both"/>
        <w:rPr>
          <w:rFonts w:ascii="Verdana" w:hAnsi="Verdana"/>
          <w:sz w:val="20"/>
          <w:szCs w:val="20"/>
        </w:rPr>
      </w:pPr>
      <w:r w:rsidRPr="00A031C0">
        <w:rPr>
          <w:rFonts w:ascii="Verdana" w:hAnsi="Verdana"/>
          <w:sz w:val="20"/>
          <w:szCs w:val="20"/>
        </w:rPr>
        <w:t xml:space="preserve">Gamarra, C., Mascareño, A., Cardeiro, A., y Rozas, J. (2024b). La distribución comunal del delito en Chile. Un análisis exploratorio en base a ENUSC 2023. </w:t>
      </w:r>
      <w:r w:rsidRPr="00A031C0">
        <w:rPr>
          <w:rFonts w:ascii="Verdana" w:hAnsi="Verdana"/>
          <w:i/>
          <w:iCs/>
          <w:sz w:val="20"/>
          <w:szCs w:val="20"/>
        </w:rPr>
        <w:t xml:space="preserve">Puntos de Referencia, 718. </w:t>
      </w:r>
      <w:hyperlink r:id="rId22" w:history="1">
        <w:r w:rsidRPr="00A031C0">
          <w:rPr>
            <w:rStyle w:val="Hipervnculo"/>
            <w:rFonts w:ascii="Verdana" w:hAnsi="Verdana"/>
            <w:sz w:val="20"/>
            <w:szCs w:val="20"/>
          </w:rPr>
          <w:t>https://www.cepchile.cl/investigacion/la-distribucion-comunal-del-delito-en-chile/</w:t>
        </w:r>
      </w:hyperlink>
    </w:p>
    <w:p w14:paraId="6D7F118D" w14:textId="40BC4023" w:rsidR="00B055EF" w:rsidRPr="00A031C0" w:rsidRDefault="00B055EF" w:rsidP="00A031C0">
      <w:pPr>
        <w:spacing w:before="120" w:after="120"/>
        <w:ind w:left="709" w:hanging="709"/>
        <w:jc w:val="both"/>
        <w:rPr>
          <w:rFonts w:ascii="Verdana" w:hAnsi="Verdana"/>
          <w:sz w:val="20"/>
          <w:szCs w:val="20"/>
        </w:rPr>
      </w:pPr>
      <w:r w:rsidRPr="00A031C0">
        <w:rPr>
          <w:rFonts w:ascii="Verdana" w:hAnsi="Verdana"/>
          <w:sz w:val="20"/>
          <w:szCs w:val="20"/>
        </w:rPr>
        <w:t xml:space="preserve">Goda, T., &amp; Torres García, A. (2018). </w:t>
      </w:r>
      <w:r w:rsidRPr="0043483B">
        <w:rPr>
          <w:rFonts w:ascii="Verdana" w:hAnsi="Verdana"/>
          <w:sz w:val="20"/>
          <w:szCs w:val="20"/>
          <w:lang w:val="en-US"/>
        </w:rPr>
        <w:t>Inequality and property crime: does absolute inequality matter</w:t>
      </w:r>
      <w:proofErr w:type="gramStart"/>
      <w:r w:rsidRPr="0043483B">
        <w:rPr>
          <w:rFonts w:ascii="Verdana" w:hAnsi="Verdana"/>
          <w:sz w:val="20"/>
          <w:szCs w:val="20"/>
          <w:lang w:val="en-US"/>
        </w:rPr>
        <w:t>?.</w:t>
      </w:r>
      <w:proofErr w:type="gramEnd"/>
      <w:r w:rsidRPr="0043483B">
        <w:rPr>
          <w:rFonts w:ascii="Verdana" w:hAnsi="Verdana"/>
          <w:sz w:val="20"/>
          <w:szCs w:val="20"/>
          <w:lang w:val="en-US"/>
        </w:rPr>
        <w:t xml:space="preserve"> </w:t>
      </w:r>
      <w:r w:rsidRPr="00A031C0">
        <w:rPr>
          <w:rFonts w:ascii="Verdana" w:hAnsi="Verdana"/>
          <w:i/>
          <w:iCs/>
          <w:sz w:val="20"/>
          <w:szCs w:val="20"/>
        </w:rPr>
        <w:t xml:space="preserve">International Criminal </w:t>
      </w:r>
      <w:proofErr w:type="spellStart"/>
      <w:r w:rsidRPr="00A031C0">
        <w:rPr>
          <w:rFonts w:ascii="Verdana" w:hAnsi="Verdana"/>
          <w:i/>
          <w:iCs/>
          <w:sz w:val="20"/>
          <w:szCs w:val="20"/>
        </w:rPr>
        <w:t>Justice</w:t>
      </w:r>
      <w:proofErr w:type="spellEnd"/>
      <w:r w:rsidRPr="00A031C0">
        <w:rPr>
          <w:rFonts w:ascii="Verdana" w:hAnsi="Verdana"/>
          <w:i/>
          <w:iCs/>
          <w:sz w:val="20"/>
          <w:szCs w:val="20"/>
        </w:rPr>
        <w:t xml:space="preserve"> </w:t>
      </w:r>
      <w:proofErr w:type="spellStart"/>
      <w:r w:rsidRPr="00A031C0">
        <w:rPr>
          <w:rFonts w:ascii="Verdana" w:hAnsi="Verdana"/>
          <w:i/>
          <w:iCs/>
          <w:sz w:val="20"/>
          <w:szCs w:val="20"/>
        </w:rPr>
        <w:t>Review</w:t>
      </w:r>
      <w:proofErr w:type="spellEnd"/>
      <w:r w:rsidRPr="00A031C0">
        <w:rPr>
          <w:rFonts w:ascii="Verdana" w:hAnsi="Verdana"/>
          <w:sz w:val="20"/>
          <w:szCs w:val="20"/>
        </w:rPr>
        <w:t xml:space="preserve">, </w:t>
      </w:r>
      <w:r w:rsidRPr="00A031C0">
        <w:rPr>
          <w:rFonts w:ascii="Verdana" w:hAnsi="Verdana"/>
          <w:i/>
          <w:iCs/>
          <w:sz w:val="20"/>
          <w:szCs w:val="20"/>
        </w:rPr>
        <w:t>29</w:t>
      </w:r>
      <w:r w:rsidRPr="00A031C0">
        <w:rPr>
          <w:rFonts w:ascii="Verdana" w:hAnsi="Verdana"/>
          <w:sz w:val="20"/>
          <w:szCs w:val="20"/>
        </w:rPr>
        <w:t xml:space="preserve">(2), 121-140. </w:t>
      </w:r>
      <w:hyperlink r:id="rId23" w:history="1">
        <w:r w:rsidRPr="00A031C0">
          <w:rPr>
            <w:rStyle w:val="Hipervnculo"/>
            <w:rFonts w:ascii="Verdana" w:hAnsi="Verdana"/>
            <w:sz w:val="20"/>
            <w:szCs w:val="20"/>
          </w:rPr>
          <w:t>https://doi.org/10.1177/1057567718799829</w:t>
        </w:r>
      </w:hyperlink>
    </w:p>
    <w:p w14:paraId="1AA40B5C" w14:textId="4C97E188" w:rsidR="00B055EF" w:rsidRPr="00A031C0" w:rsidRDefault="00B055EF" w:rsidP="00A031C0">
      <w:pPr>
        <w:spacing w:before="120" w:after="120"/>
        <w:ind w:left="709" w:hanging="709"/>
        <w:jc w:val="both"/>
        <w:rPr>
          <w:rFonts w:ascii="Verdana" w:hAnsi="Verdana"/>
          <w:sz w:val="20"/>
          <w:szCs w:val="20"/>
        </w:rPr>
      </w:pPr>
      <w:r w:rsidRPr="00A031C0">
        <w:rPr>
          <w:rFonts w:ascii="Verdana" w:hAnsi="Verdana"/>
          <w:sz w:val="20"/>
          <w:szCs w:val="20"/>
        </w:rPr>
        <w:t xml:space="preserve">Greene, P., </w:t>
      </w:r>
      <w:proofErr w:type="spellStart"/>
      <w:r w:rsidRPr="00A031C0">
        <w:rPr>
          <w:rFonts w:ascii="Verdana" w:hAnsi="Verdana"/>
          <w:sz w:val="20"/>
          <w:szCs w:val="20"/>
        </w:rPr>
        <w:t>Astraín</w:t>
      </w:r>
      <w:proofErr w:type="spellEnd"/>
      <w:r w:rsidRPr="00A031C0">
        <w:rPr>
          <w:rFonts w:ascii="Verdana" w:hAnsi="Verdana"/>
          <w:sz w:val="20"/>
          <w:szCs w:val="20"/>
        </w:rPr>
        <w:t xml:space="preserve">, C., y Salas, C. (2023). </w:t>
      </w:r>
      <w:r w:rsidR="007436F4" w:rsidRPr="00A031C0">
        <w:rPr>
          <w:rFonts w:ascii="Verdana" w:hAnsi="Verdana"/>
          <w:sz w:val="20"/>
          <w:szCs w:val="20"/>
        </w:rPr>
        <w:t xml:space="preserve">Crimen organizado: análisis y desafíos para Chile. </w:t>
      </w:r>
      <w:r w:rsidR="007436F4" w:rsidRPr="00A031C0">
        <w:rPr>
          <w:rFonts w:ascii="Verdana" w:hAnsi="Verdana"/>
          <w:i/>
          <w:iCs/>
          <w:sz w:val="20"/>
          <w:szCs w:val="20"/>
        </w:rPr>
        <w:t>Revista de derecho y ciencias sociales</w:t>
      </w:r>
      <w:r w:rsidR="007436F4" w:rsidRPr="00A031C0">
        <w:rPr>
          <w:rFonts w:ascii="Verdana" w:hAnsi="Verdana"/>
          <w:sz w:val="20"/>
          <w:szCs w:val="20"/>
        </w:rPr>
        <w:t xml:space="preserve">, (29), 241-277. </w:t>
      </w:r>
      <w:hyperlink r:id="rId24" w:history="1">
        <w:r w:rsidR="007436F4" w:rsidRPr="00A031C0">
          <w:rPr>
            <w:rStyle w:val="Hipervnculo"/>
            <w:rFonts w:ascii="Verdana" w:hAnsi="Verdana"/>
            <w:sz w:val="20"/>
            <w:szCs w:val="20"/>
          </w:rPr>
          <w:t>https://www.rduss.cl/index.php/ojs/article/view/48</w:t>
        </w:r>
      </w:hyperlink>
    </w:p>
    <w:p w14:paraId="0522C78C" w14:textId="47906CD3" w:rsidR="007436F4" w:rsidRPr="00A031C0" w:rsidRDefault="007436F4" w:rsidP="00A031C0">
      <w:pPr>
        <w:spacing w:before="120" w:after="120"/>
        <w:ind w:left="709" w:hanging="709"/>
        <w:jc w:val="both"/>
        <w:rPr>
          <w:rFonts w:ascii="Verdana" w:hAnsi="Verdana"/>
          <w:sz w:val="20"/>
          <w:szCs w:val="20"/>
        </w:rPr>
      </w:pPr>
      <w:r w:rsidRPr="00A031C0">
        <w:rPr>
          <w:rFonts w:ascii="Verdana" w:hAnsi="Verdana"/>
          <w:sz w:val="20"/>
          <w:szCs w:val="20"/>
        </w:rPr>
        <w:t xml:space="preserve">Han, L., Bandyopadhyay, S., &amp; Bhattacharya, S. (2013). </w:t>
      </w:r>
      <w:proofErr w:type="spellStart"/>
      <w:r w:rsidRPr="00A031C0">
        <w:rPr>
          <w:rFonts w:ascii="Verdana" w:hAnsi="Verdana"/>
          <w:sz w:val="20"/>
          <w:szCs w:val="20"/>
        </w:rPr>
        <w:t>Determinants</w:t>
      </w:r>
      <w:proofErr w:type="spellEnd"/>
      <w:r w:rsidRPr="00A031C0">
        <w:rPr>
          <w:rFonts w:ascii="Verdana" w:hAnsi="Verdana"/>
          <w:sz w:val="20"/>
          <w:szCs w:val="20"/>
        </w:rPr>
        <w:t xml:space="preserve"> of </w:t>
      </w:r>
      <w:proofErr w:type="spellStart"/>
      <w:r w:rsidRPr="00A031C0">
        <w:rPr>
          <w:rFonts w:ascii="Verdana" w:hAnsi="Verdana"/>
          <w:sz w:val="20"/>
          <w:szCs w:val="20"/>
        </w:rPr>
        <w:t>violent</w:t>
      </w:r>
      <w:proofErr w:type="spellEnd"/>
      <w:r w:rsidRPr="00A031C0">
        <w:rPr>
          <w:rFonts w:ascii="Verdana" w:hAnsi="Verdana"/>
          <w:sz w:val="20"/>
          <w:szCs w:val="20"/>
        </w:rPr>
        <w:t xml:space="preserve"> and </w:t>
      </w:r>
      <w:proofErr w:type="spellStart"/>
      <w:r w:rsidRPr="00A031C0">
        <w:rPr>
          <w:rFonts w:ascii="Verdana" w:hAnsi="Verdana"/>
          <w:sz w:val="20"/>
          <w:szCs w:val="20"/>
        </w:rPr>
        <w:t>property</w:t>
      </w:r>
      <w:proofErr w:type="spellEnd"/>
      <w:r w:rsidRPr="00A031C0">
        <w:rPr>
          <w:rFonts w:ascii="Verdana" w:hAnsi="Verdana"/>
          <w:sz w:val="20"/>
          <w:szCs w:val="20"/>
        </w:rPr>
        <w:t xml:space="preserve"> </w:t>
      </w:r>
      <w:proofErr w:type="spellStart"/>
      <w:r w:rsidRPr="00A031C0">
        <w:rPr>
          <w:rFonts w:ascii="Verdana" w:hAnsi="Verdana"/>
          <w:sz w:val="20"/>
          <w:szCs w:val="20"/>
        </w:rPr>
        <w:t>crimes</w:t>
      </w:r>
      <w:proofErr w:type="spellEnd"/>
      <w:r w:rsidRPr="00A031C0">
        <w:rPr>
          <w:rFonts w:ascii="Verdana" w:hAnsi="Verdana"/>
          <w:sz w:val="20"/>
          <w:szCs w:val="20"/>
        </w:rPr>
        <w:t xml:space="preserve"> in </w:t>
      </w:r>
      <w:proofErr w:type="spellStart"/>
      <w:r w:rsidRPr="00A031C0">
        <w:rPr>
          <w:rFonts w:ascii="Verdana" w:hAnsi="Verdana"/>
          <w:sz w:val="20"/>
          <w:szCs w:val="20"/>
        </w:rPr>
        <w:t>England</w:t>
      </w:r>
      <w:proofErr w:type="spellEnd"/>
      <w:r w:rsidRPr="00A031C0">
        <w:rPr>
          <w:rFonts w:ascii="Verdana" w:hAnsi="Verdana"/>
          <w:sz w:val="20"/>
          <w:szCs w:val="20"/>
        </w:rPr>
        <w:t xml:space="preserve"> and Wales: A panel data </w:t>
      </w:r>
      <w:proofErr w:type="spellStart"/>
      <w:r w:rsidRPr="00A031C0">
        <w:rPr>
          <w:rFonts w:ascii="Verdana" w:hAnsi="Verdana"/>
          <w:sz w:val="20"/>
          <w:szCs w:val="20"/>
        </w:rPr>
        <w:t>analysis</w:t>
      </w:r>
      <w:proofErr w:type="spellEnd"/>
      <w:r w:rsidRPr="00A031C0">
        <w:rPr>
          <w:rFonts w:ascii="Verdana" w:hAnsi="Verdana"/>
          <w:sz w:val="20"/>
          <w:szCs w:val="20"/>
        </w:rPr>
        <w:t xml:space="preserve">. </w:t>
      </w:r>
      <w:proofErr w:type="spellStart"/>
      <w:r w:rsidRPr="00A031C0">
        <w:rPr>
          <w:rFonts w:ascii="Verdana" w:hAnsi="Verdana"/>
          <w:i/>
          <w:iCs/>
          <w:sz w:val="20"/>
          <w:szCs w:val="20"/>
        </w:rPr>
        <w:t>Applied</w:t>
      </w:r>
      <w:proofErr w:type="spellEnd"/>
      <w:r w:rsidRPr="00A031C0">
        <w:rPr>
          <w:rFonts w:ascii="Verdana" w:hAnsi="Verdana"/>
          <w:i/>
          <w:iCs/>
          <w:sz w:val="20"/>
          <w:szCs w:val="20"/>
        </w:rPr>
        <w:t xml:space="preserve"> </w:t>
      </w:r>
      <w:proofErr w:type="spellStart"/>
      <w:r w:rsidRPr="00A031C0">
        <w:rPr>
          <w:rFonts w:ascii="Verdana" w:hAnsi="Verdana"/>
          <w:i/>
          <w:iCs/>
          <w:sz w:val="20"/>
          <w:szCs w:val="20"/>
        </w:rPr>
        <w:t>Economics</w:t>
      </w:r>
      <w:proofErr w:type="spellEnd"/>
      <w:r w:rsidRPr="00A031C0">
        <w:rPr>
          <w:rFonts w:ascii="Verdana" w:hAnsi="Verdana"/>
          <w:sz w:val="20"/>
          <w:szCs w:val="20"/>
        </w:rPr>
        <w:t xml:space="preserve">, </w:t>
      </w:r>
      <w:r w:rsidRPr="00A031C0">
        <w:rPr>
          <w:rFonts w:ascii="Verdana" w:hAnsi="Verdana"/>
          <w:i/>
          <w:iCs/>
          <w:sz w:val="20"/>
          <w:szCs w:val="20"/>
        </w:rPr>
        <w:t>45</w:t>
      </w:r>
      <w:r w:rsidRPr="00A031C0">
        <w:rPr>
          <w:rFonts w:ascii="Verdana" w:hAnsi="Verdana"/>
          <w:sz w:val="20"/>
          <w:szCs w:val="20"/>
        </w:rPr>
        <w:t xml:space="preserve">(34), 4820-4830. </w:t>
      </w:r>
      <w:hyperlink r:id="rId25" w:history="1">
        <w:r w:rsidRPr="00A031C0">
          <w:rPr>
            <w:rStyle w:val="Hipervnculo"/>
            <w:rFonts w:ascii="Verdana" w:hAnsi="Verdana"/>
            <w:sz w:val="20"/>
            <w:szCs w:val="20"/>
          </w:rPr>
          <w:t>https://doi.org/10.1080/00036846.2013.806782</w:t>
        </w:r>
      </w:hyperlink>
    </w:p>
    <w:p w14:paraId="201C039F" w14:textId="38EF8E25" w:rsidR="007436F4" w:rsidRPr="00A031C0" w:rsidRDefault="007436F4" w:rsidP="00A031C0">
      <w:pPr>
        <w:spacing w:before="120" w:after="120"/>
        <w:ind w:left="709" w:hanging="709"/>
        <w:jc w:val="both"/>
        <w:rPr>
          <w:rFonts w:ascii="Verdana" w:hAnsi="Verdana"/>
          <w:sz w:val="20"/>
          <w:szCs w:val="20"/>
        </w:rPr>
      </w:pPr>
      <w:r w:rsidRPr="00A031C0">
        <w:rPr>
          <w:rFonts w:ascii="Verdana" w:hAnsi="Verdana"/>
          <w:sz w:val="20"/>
          <w:szCs w:val="20"/>
        </w:rPr>
        <w:t xml:space="preserve">Harries, K. (2006). </w:t>
      </w:r>
      <w:proofErr w:type="spellStart"/>
      <w:r w:rsidRPr="00A031C0">
        <w:rPr>
          <w:rFonts w:ascii="Verdana" w:hAnsi="Verdana"/>
          <w:sz w:val="20"/>
          <w:szCs w:val="20"/>
        </w:rPr>
        <w:t>Property</w:t>
      </w:r>
      <w:proofErr w:type="spellEnd"/>
      <w:r w:rsidRPr="00A031C0">
        <w:rPr>
          <w:rFonts w:ascii="Verdana" w:hAnsi="Verdana"/>
          <w:sz w:val="20"/>
          <w:szCs w:val="20"/>
        </w:rPr>
        <w:t xml:space="preserve"> </w:t>
      </w:r>
      <w:proofErr w:type="spellStart"/>
      <w:r w:rsidRPr="00A031C0">
        <w:rPr>
          <w:rFonts w:ascii="Verdana" w:hAnsi="Verdana"/>
          <w:sz w:val="20"/>
          <w:szCs w:val="20"/>
        </w:rPr>
        <w:t>crimes</w:t>
      </w:r>
      <w:proofErr w:type="spellEnd"/>
      <w:r w:rsidRPr="00A031C0">
        <w:rPr>
          <w:rFonts w:ascii="Verdana" w:hAnsi="Verdana"/>
          <w:sz w:val="20"/>
          <w:szCs w:val="20"/>
        </w:rPr>
        <w:t xml:space="preserve"> and </w:t>
      </w:r>
      <w:proofErr w:type="spellStart"/>
      <w:r w:rsidRPr="00A031C0">
        <w:rPr>
          <w:rFonts w:ascii="Verdana" w:hAnsi="Verdana"/>
          <w:sz w:val="20"/>
          <w:szCs w:val="20"/>
        </w:rPr>
        <w:t>violence</w:t>
      </w:r>
      <w:proofErr w:type="spellEnd"/>
      <w:r w:rsidRPr="00A031C0">
        <w:rPr>
          <w:rFonts w:ascii="Verdana" w:hAnsi="Verdana"/>
          <w:sz w:val="20"/>
          <w:szCs w:val="20"/>
        </w:rPr>
        <w:t xml:space="preserve"> in </w:t>
      </w:r>
      <w:proofErr w:type="spellStart"/>
      <w:r w:rsidRPr="00A031C0">
        <w:rPr>
          <w:rFonts w:ascii="Verdana" w:hAnsi="Verdana"/>
          <w:sz w:val="20"/>
          <w:szCs w:val="20"/>
        </w:rPr>
        <w:t>United</w:t>
      </w:r>
      <w:proofErr w:type="spellEnd"/>
      <w:r w:rsidRPr="00A031C0">
        <w:rPr>
          <w:rFonts w:ascii="Verdana" w:hAnsi="Verdana"/>
          <w:sz w:val="20"/>
          <w:szCs w:val="20"/>
        </w:rPr>
        <w:t xml:space="preserve"> </w:t>
      </w:r>
      <w:proofErr w:type="spellStart"/>
      <w:r w:rsidRPr="00A031C0">
        <w:rPr>
          <w:rFonts w:ascii="Verdana" w:hAnsi="Verdana"/>
          <w:sz w:val="20"/>
          <w:szCs w:val="20"/>
        </w:rPr>
        <w:t>States</w:t>
      </w:r>
      <w:proofErr w:type="spellEnd"/>
      <w:r w:rsidRPr="00A031C0">
        <w:rPr>
          <w:rFonts w:ascii="Verdana" w:hAnsi="Verdana"/>
          <w:sz w:val="20"/>
          <w:szCs w:val="20"/>
        </w:rPr>
        <w:t xml:space="preserve">: </w:t>
      </w:r>
      <w:proofErr w:type="spellStart"/>
      <w:r w:rsidRPr="00A031C0">
        <w:rPr>
          <w:rFonts w:ascii="Verdana" w:hAnsi="Verdana"/>
          <w:sz w:val="20"/>
          <w:szCs w:val="20"/>
        </w:rPr>
        <w:t>An</w:t>
      </w:r>
      <w:proofErr w:type="spellEnd"/>
      <w:r w:rsidRPr="00A031C0">
        <w:rPr>
          <w:rFonts w:ascii="Verdana" w:hAnsi="Verdana"/>
          <w:sz w:val="20"/>
          <w:szCs w:val="20"/>
        </w:rPr>
        <w:t xml:space="preserve"> </w:t>
      </w:r>
      <w:proofErr w:type="spellStart"/>
      <w:r w:rsidRPr="00A031C0">
        <w:rPr>
          <w:rFonts w:ascii="Verdana" w:hAnsi="Verdana"/>
          <w:sz w:val="20"/>
          <w:szCs w:val="20"/>
        </w:rPr>
        <w:t>analysis</w:t>
      </w:r>
      <w:proofErr w:type="spellEnd"/>
      <w:r w:rsidRPr="00A031C0">
        <w:rPr>
          <w:rFonts w:ascii="Verdana" w:hAnsi="Verdana"/>
          <w:sz w:val="20"/>
          <w:szCs w:val="20"/>
        </w:rPr>
        <w:t xml:space="preserve"> of </w:t>
      </w:r>
      <w:proofErr w:type="spellStart"/>
      <w:r w:rsidRPr="00A031C0">
        <w:rPr>
          <w:rFonts w:ascii="Verdana" w:hAnsi="Verdana"/>
          <w:sz w:val="20"/>
          <w:szCs w:val="20"/>
        </w:rPr>
        <w:t>the</w:t>
      </w:r>
      <w:proofErr w:type="spellEnd"/>
      <w:r w:rsidRPr="00A031C0">
        <w:rPr>
          <w:rFonts w:ascii="Verdana" w:hAnsi="Verdana"/>
          <w:sz w:val="20"/>
          <w:szCs w:val="20"/>
        </w:rPr>
        <w:t xml:space="preserve"> </w:t>
      </w:r>
      <w:proofErr w:type="spellStart"/>
      <w:r w:rsidRPr="00A031C0">
        <w:rPr>
          <w:rFonts w:ascii="Verdana" w:hAnsi="Verdana"/>
          <w:sz w:val="20"/>
          <w:szCs w:val="20"/>
        </w:rPr>
        <w:t>influence</w:t>
      </w:r>
      <w:proofErr w:type="spellEnd"/>
      <w:r w:rsidRPr="00A031C0">
        <w:rPr>
          <w:rFonts w:ascii="Verdana" w:hAnsi="Verdana"/>
          <w:sz w:val="20"/>
          <w:szCs w:val="20"/>
        </w:rPr>
        <w:t xml:space="preserve"> of </w:t>
      </w:r>
      <w:proofErr w:type="spellStart"/>
      <w:r w:rsidRPr="00A031C0">
        <w:rPr>
          <w:rFonts w:ascii="Verdana" w:hAnsi="Verdana"/>
          <w:sz w:val="20"/>
          <w:szCs w:val="20"/>
        </w:rPr>
        <w:t>population</w:t>
      </w:r>
      <w:proofErr w:type="spellEnd"/>
      <w:r w:rsidRPr="00A031C0">
        <w:rPr>
          <w:rFonts w:ascii="Verdana" w:hAnsi="Verdana"/>
          <w:sz w:val="20"/>
          <w:szCs w:val="20"/>
        </w:rPr>
        <w:t xml:space="preserve"> </w:t>
      </w:r>
      <w:proofErr w:type="spellStart"/>
      <w:r w:rsidRPr="00A031C0">
        <w:rPr>
          <w:rFonts w:ascii="Verdana" w:hAnsi="Verdana"/>
          <w:sz w:val="20"/>
          <w:szCs w:val="20"/>
        </w:rPr>
        <w:t>density</w:t>
      </w:r>
      <w:proofErr w:type="spellEnd"/>
      <w:r w:rsidRPr="00A031C0">
        <w:rPr>
          <w:rFonts w:ascii="Verdana" w:hAnsi="Verdana"/>
          <w:sz w:val="20"/>
          <w:szCs w:val="20"/>
        </w:rPr>
        <w:t xml:space="preserve">. </w:t>
      </w:r>
      <w:r w:rsidRPr="00A031C0">
        <w:rPr>
          <w:rFonts w:ascii="Verdana" w:hAnsi="Verdana"/>
          <w:i/>
          <w:iCs/>
          <w:sz w:val="20"/>
          <w:szCs w:val="20"/>
        </w:rPr>
        <w:t xml:space="preserve">International </w:t>
      </w:r>
      <w:proofErr w:type="spellStart"/>
      <w:r w:rsidRPr="00A031C0">
        <w:rPr>
          <w:rFonts w:ascii="Verdana" w:hAnsi="Verdana"/>
          <w:i/>
          <w:iCs/>
          <w:sz w:val="20"/>
          <w:szCs w:val="20"/>
        </w:rPr>
        <w:t>Journal</w:t>
      </w:r>
      <w:proofErr w:type="spellEnd"/>
      <w:r w:rsidRPr="00A031C0">
        <w:rPr>
          <w:rFonts w:ascii="Verdana" w:hAnsi="Verdana"/>
          <w:i/>
          <w:iCs/>
          <w:sz w:val="20"/>
          <w:szCs w:val="20"/>
        </w:rPr>
        <w:t xml:space="preserve"> of Criminal </w:t>
      </w:r>
      <w:proofErr w:type="spellStart"/>
      <w:r w:rsidRPr="00A031C0">
        <w:rPr>
          <w:rFonts w:ascii="Verdana" w:hAnsi="Verdana"/>
          <w:i/>
          <w:iCs/>
          <w:sz w:val="20"/>
          <w:szCs w:val="20"/>
        </w:rPr>
        <w:t>Justice</w:t>
      </w:r>
      <w:proofErr w:type="spellEnd"/>
      <w:r w:rsidRPr="00A031C0">
        <w:rPr>
          <w:rFonts w:ascii="Verdana" w:hAnsi="Verdana"/>
          <w:i/>
          <w:iCs/>
          <w:sz w:val="20"/>
          <w:szCs w:val="20"/>
        </w:rPr>
        <w:t xml:space="preserve"> </w:t>
      </w:r>
      <w:proofErr w:type="spellStart"/>
      <w:r w:rsidRPr="00A031C0">
        <w:rPr>
          <w:rFonts w:ascii="Verdana" w:hAnsi="Verdana"/>
          <w:i/>
          <w:iCs/>
          <w:sz w:val="20"/>
          <w:szCs w:val="20"/>
        </w:rPr>
        <w:t>Sciences</w:t>
      </w:r>
      <w:proofErr w:type="spellEnd"/>
      <w:r w:rsidRPr="00A031C0">
        <w:rPr>
          <w:rFonts w:ascii="Verdana" w:hAnsi="Verdana"/>
          <w:sz w:val="20"/>
          <w:szCs w:val="20"/>
        </w:rPr>
        <w:t xml:space="preserve">, </w:t>
      </w:r>
      <w:r w:rsidRPr="00A031C0">
        <w:rPr>
          <w:rFonts w:ascii="Verdana" w:hAnsi="Verdana"/>
          <w:i/>
          <w:iCs/>
          <w:sz w:val="20"/>
          <w:szCs w:val="20"/>
        </w:rPr>
        <w:t>1</w:t>
      </w:r>
      <w:r w:rsidRPr="00A031C0">
        <w:rPr>
          <w:rFonts w:ascii="Verdana" w:hAnsi="Verdana"/>
          <w:sz w:val="20"/>
          <w:szCs w:val="20"/>
        </w:rPr>
        <w:t xml:space="preserve">(2). </w:t>
      </w:r>
      <w:hyperlink r:id="rId26" w:history="1">
        <w:r w:rsidRPr="00A031C0">
          <w:rPr>
            <w:rStyle w:val="Hipervnculo"/>
            <w:rFonts w:ascii="Verdana" w:hAnsi="Verdana"/>
            <w:sz w:val="20"/>
            <w:szCs w:val="20"/>
          </w:rPr>
          <w:t>https://ijcjs.com/menu-script/index.php/ijcjs/article/view/372</w:t>
        </w:r>
      </w:hyperlink>
    </w:p>
    <w:p w14:paraId="16E3E283" w14:textId="3A306B2E" w:rsidR="007436F4" w:rsidRPr="00A031C0" w:rsidRDefault="007436F4" w:rsidP="00A031C0">
      <w:pPr>
        <w:spacing w:before="120" w:after="120"/>
        <w:ind w:left="709" w:hanging="709"/>
        <w:jc w:val="both"/>
        <w:rPr>
          <w:rFonts w:ascii="Verdana" w:hAnsi="Verdana"/>
          <w:sz w:val="20"/>
          <w:szCs w:val="20"/>
        </w:rPr>
      </w:pPr>
      <w:r w:rsidRPr="00A031C0">
        <w:rPr>
          <w:rFonts w:ascii="Verdana" w:hAnsi="Verdana"/>
          <w:sz w:val="20"/>
          <w:szCs w:val="20"/>
        </w:rPr>
        <w:t xml:space="preserve">Izquierdo, S., Mascareño, A., y Rozas, J. (2024). Voces del sur: lo que se oculta tras ‘la causa mapuche’. </w:t>
      </w:r>
      <w:r w:rsidRPr="00A031C0">
        <w:rPr>
          <w:rFonts w:ascii="Verdana" w:hAnsi="Verdana"/>
          <w:i/>
          <w:iCs/>
          <w:sz w:val="20"/>
          <w:szCs w:val="20"/>
        </w:rPr>
        <w:t>Punto</w:t>
      </w:r>
      <w:r w:rsidR="00E51ABD" w:rsidRPr="00A031C0">
        <w:rPr>
          <w:rFonts w:ascii="Verdana" w:hAnsi="Verdana"/>
          <w:i/>
          <w:iCs/>
          <w:sz w:val="20"/>
          <w:szCs w:val="20"/>
        </w:rPr>
        <w:t>s</w:t>
      </w:r>
      <w:r w:rsidRPr="00A031C0">
        <w:rPr>
          <w:rFonts w:ascii="Verdana" w:hAnsi="Verdana"/>
          <w:i/>
          <w:iCs/>
          <w:sz w:val="20"/>
          <w:szCs w:val="20"/>
        </w:rPr>
        <w:t xml:space="preserve"> de Referencia, </w:t>
      </w:r>
      <w:r w:rsidR="00E51ABD" w:rsidRPr="00A031C0">
        <w:rPr>
          <w:rFonts w:ascii="Verdana" w:hAnsi="Verdana"/>
          <w:i/>
          <w:iCs/>
          <w:sz w:val="20"/>
          <w:szCs w:val="20"/>
        </w:rPr>
        <w:t>693</w:t>
      </w:r>
      <w:r w:rsidRPr="00A031C0">
        <w:rPr>
          <w:rFonts w:ascii="Verdana" w:hAnsi="Verdana"/>
          <w:i/>
          <w:iCs/>
          <w:sz w:val="20"/>
          <w:szCs w:val="20"/>
        </w:rPr>
        <w:t xml:space="preserve">. </w:t>
      </w:r>
      <w:hyperlink r:id="rId27" w:history="1">
        <w:r w:rsidR="00E51ABD" w:rsidRPr="00A031C0">
          <w:rPr>
            <w:rStyle w:val="Hipervnculo"/>
            <w:rFonts w:ascii="Verdana" w:hAnsi="Verdana"/>
            <w:sz w:val="20"/>
            <w:szCs w:val="20"/>
          </w:rPr>
          <w:t>https://www.cepchile.cl/investigacion/voces-del-sur-lo-que-se-oculta-tras-la-causa-mapuche/</w:t>
        </w:r>
      </w:hyperlink>
    </w:p>
    <w:p w14:paraId="7A629CD5" w14:textId="0D5EDFE5" w:rsidR="00E51ABD" w:rsidRPr="00A031C0" w:rsidRDefault="00E51ABD" w:rsidP="00A031C0">
      <w:pPr>
        <w:spacing w:before="120" w:after="120"/>
        <w:ind w:left="709" w:hanging="709"/>
        <w:jc w:val="both"/>
        <w:rPr>
          <w:rFonts w:ascii="Verdana" w:hAnsi="Verdana"/>
          <w:sz w:val="20"/>
          <w:szCs w:val="20"/>
        </w:rPr>
      </w:pPr>
      <w:proofErr w:type="spellStart"/>
      <w:r w:rsidRPr="00A031C0">
        <w:rPr>
          <w:rFonts w:ascii="Verdana" w:hAnsi="Verdana"/>
          <w:sz w:val="20"/>
          <w:szCs w:val="20"/>
        </w:rPr>
        <w:t>Lopez</w:t>
      </w:r>
      <w:proofErr w:type="spellEnd"/>
      <w:r w:rsidRPr="00A031C0">
        <w:rPr>
          <w:rFonts w:ascii="Verdana" w:hAnsi="Verdana"/>
          <w:sz w:val="20"/>
          <w:szCs w:val="20"/>
        </w:rPr>
        <w:t xml:space="preserve">, E., &amp; </w:t>
      </w:r>
      <w:proofErr w:type="spellStart"/>
      <w:r w:rsidRPr="00A031C0">
        <w:rPr>
          <w:rFonts w:ascii="Verdana" w:hAnsi="Verdana"/>
          <w:sz w:val="20"/>
          <w:szCs w:val="20"/>
        </w:rPr>
        <w:t>Boxerman</w:t>
      </w:r>
      <w:proofErr w:type="spellEnd"/>
      <w:r w:rsidRPr="00A031C0">
        <w:rPr>
          <w:rFonts w:ascii="Verdana" w:hAnsi="Verdana"/>
          <w:sz w:val="20"/>
          <w:szCs w:val="20"/>
        </w:rPr>
        <w:t xml:space="preserve">, B. (2025). </w:t>
      </w:r>
      <w:proofErr w:type="spellStart"/>
      <w:r w:rsidRPr="00A031C0">
        <w:rPr>
          <w:rFonts w:ascii="Verdana" w:hAnsi="Verdana"/>
          <w:sz w:val="20"/>
          <w:szCs w:val="20"/>
        </w:rPr>
        <w:t>Crime</w:t>
      </w:r>
      <w:proofErr w:type="spellEnd"/>
      <w:r w:rsidRPr="00A031C0">
        <w:rPr>
          <w:rFonts w:ascii="Verdana" w:hAnsi="Verdana"/>
          <w:sz w:val="20"/>
          <w:szCs w:val="20"/>
        </w:rPr>
        <w:t xml:space="preserve"> </w:t>
      </w:r>
      <w:proofErr w:type="spellStart"/>
      <w:r w:rsidRPr="00A031C0">
        <w:rPr>
          <w:rFonts w:ascii="Verdana" w:hAnsi="Verdana"/>
          <w:sz w:val="20"/>
          <w:szCs w:val="20"/>
        </w:rPr>
        <w:t>trends</w:t>
      </w:r>
      <w:proofErr w:type="spellEnd"/>
      <w:r w:rsidRPr="00A031C0">
        <w:rPr>
          <w:rFonts w:ascii="Verdana" w:hAnsi="Verdana"/>
          <w:sz w:val="20"/>
          <w:szCs w:val="20"/>
        </w:rPr>
        <w:t xml:space="preserve"> in US </w:t>
      </w:r>
      <w:proofErr w:type="spellStart"/>
      <w:r w:rsidRPr="00A031C0">
        <w:rPr>
          <w:rFonts w:ascii="Verdana" w:hAnsi="Verdana"/>
          <w:sz w:val="20"/>
          <w:szCs w:val="20"/>
        </w:rPr>
        <w:t>cities</w:t>
      </w:r>
      <w:proofErr w:type="spellEnd"/>
      <w:r w:rsidRPr="00A031C0">
        <w:rPr>
          <w:rFonts w:ascii="Verdana" w:hAnsi="Verdana"/>
          <w:sz w:val="20"/>
          <w:szCs w:val="20"/>
        </w:rPr>
        <w:t xml:space="preserve">: </w:t>
      </w:r>
      <w:proofErr w:type="spellStart"/>
      <w:r w:rsidRPr="00A031C0">
        <w:rPr>
          <w:rFonts w:ascii="Verdana" w:hAnsi="Verdana"/>
          <w:sz w:val="20"/>
          <w:szCs w:val="20"/>
        </w:rPr>
        <w:t>Year-end</w:t>
      </w:r>
      <w:proofErr w:type="spellEnd"/>
      <w:r w:rsidRPr="00A031C0">
        <w:rPr>
          <w:rFonts w:ascii="Verdana" w:hAnsi="Verdana"/>
          <w:sz w:val="20"/>
          <w:szCs w:val="20"/>
        </w:rPr>
        <w:t xml:space="preserve"> 2024 </w:t>
      </w:r>
      <w:proofErr w:type="spellStart"/>
      <w:r w:rsidRPr="00A031C0">
        <w:rPr>
          <w:rFonts w:ascii="Verdana" w:hAnsi="Verdana"/>
          <w:sz w:val="20"/>
          <w:szCs w:val="20"/>
        </w:rPr>
        <w:t>update</w:t>
      </w:r>
      <w:proofErr w:type="spellEnd"/>
      <w:r w:rsidRPr="00A031C0">
        <w:rPr>
          <w:rFonts w:ascii="Verdana" w:hAnsi="Verdana"/>
          <w:sz w:val="20"/>
          <w:szCs w:val="20"/>
        </w:rPr>
        <w:t xml:space="preserve">. </w:t>
      </w:r>
      <w:r w:rsidRPr="00A031C0">
        <w:rPr>
          <w:rFonts w:ascii="Verdana" w:hAnsi="Verdana"/>
          <w:i/>
          <w:iCs/>
          <w:sz w:val="20"/>
          <w:szCs w:val="20"/>
        </w:rPr>
        <w:t xml:space="preserve">Council </w:t>
      </w:r>
      <w:proofErr w:type="spellStart"/>
      <w:r w:rsidRPr="00A031C0">
        <w:rPr>
          <w:rFonts w:ascii="Verdana" w:hAnsi="Verdana"/>
          <w:i/>
          <w:iCs/>
          <w:sz w:val="20"/>
          <w:szCs w:val="20"/>
        </w:rPr>
        <w:t>on</w:t>
      </w:r>
      <w:proofErr w:type="spellEnd"/>
      <w:r w:rsidRPr="00A031C0">
        <w:rPr>
          <w:rFonts w:ascii="Verdana" w:hAnsi="Verdana"/>
          <w:i/>
          <w:iCs/>
          <w:sz w:val="20"/>
          <w:szCs w:val="20"/>
        </w:rPr>
        <w:t xml:space="preserve"> criminal </w:t>
      </w:r>
      <w:proofErr w:type="spellStart"/>
      <w:r w:rsidRPr="00A031C0">
        <w:rPr>
          <w:rFonts w:ascii="Verdana" w:hAnsi="Verdana"/>
          <w:i/>
          <w:iCs/>
          <w:sz w:val="20"/>
          <w:szCs w:val="20"/>
        </w:rPr>
        <w:t>justice</w:t>
      </w:r>
      <w:proofErr w:type="spellEnd"/>
      <w:r w:rsidRPr="00A031C0">
        <w:rPr>
          <w:rFonts w:ascii="Verdana" w:hAnsi="Verdana"/>
          <w:sz w:val="20"/>
          <w:szCs w:val="20"/>
        </w:rPr>
        <w:t xml:space="preserve">. </w:t>
      </w:r>
      <w:hyperlink r:id="rId28" w:history="1">
        <w:r w:rsidRPr="00A031C0">
          <w:rPr>
            <w:rStyle w:val="Hipervnculo"/>
            <w:rFonts w:ascii="Verdana" w:hAnsi="Verdana"/>
            <w:sz w:val="20"/>
            <w:szCs w:val="20"/>
          </w:rPr>
          <w:t>https://counciloncj.org/crime-trends-in-u-s-cities-year-end-2024-update/</w:t>
        </w:r>
      </w:hyperlink>
    </w:p>
    <w:p w14:paraId="28F02712" w14:textId="5CECD690" w:rsidR="00E51ABD" w:rsidRPr="00A031C0" w:rsidRDefault="00E51ABD" w:rsidP="00A031C0">
      <w:pPr>
        <w:spacing w:before="120" w:after="120"/>
        <w:ind w:left="709" w:hanging="709"/>
        <w:jc w:val="both"/>
        <w:rPr>
          <w:rFonts w:ascii="Verdana" w:hAnsi="Verdana"/>
          <w:sz w:val="20"/>
          <w:szCs w:val="20"/>
        </w:rPr>
      </w:pPr>
      <w:r w:rsidRPr="00A031C0">
        <w:rPr>
          <w:rFonts w:ascii="Verdana" w:hAnsi="Verdana"/>
          <w:sz w:val="20"/>
          <w:szCs w:val="20"/>
        </w:rPr>
        <w:lastRenderedPageBreak/>
        <w:t xml:space="preserve">Merino, J., y Fierro, E. (2016). Violencia en las ciudades de México: un análisis de tres periodos. Comisión Económica para América Latina y el Caribe SEDE SUBREGIONAL EN MÉXICO. </w:t>
      </w:r>
      <w:hyperlink r:id="rId29" w:history="1">
        <w:r w:rsidRPr="00A031C0">
          <w:rPr>
            <w:rStyle w:val="Hipervnculo"/>
            <w:rFonts w:ascii="Verdana" w:hAnsi="Verdana"/>
            <w:sz w:val="20"/>
            <w:szCs w:val="20"/>
          </w:rPr>
          <w:t>https://hdl.handle.net/11362/39941</w:t>
        </w:r>
      </w:hyperlink>
    </w:p>
    <w:p w14:paraId="6137F9B0" w14:textId="05153C51" w:rsidR="00E51ABD" w:rsidRPr="00A031C0" w:rsidRDefault="00E51ABD" w:rsidP="00A031C0">
      <w:pPr>
        <w:spacing w:before="120" w:after="120"/>
        <w:ind w:left="709" w:hanging="709"/>
        <w:jc w:val="both"/>
        <w:rPr>
          <w:rFonts w:ascii="Verdana" w:hAnsi="Verdana"/>
          <w:sz w:val="20"/>
          <w:szCs w:val="20"/>
        </w:rPr>
      </w:pPr>
      <w:r w:rsidRPr="00A031C0">
        <w:rPr>
          <w:rFonts w:ascii="Verdana" w:hAnsi="Verdana"/>
          <w:sz w:val="20"/>
          <w:szCs w:val="20"/>
        </w:rPr>
        <w:t xml:space="preserve">Meyer, M., Hassafy, A., Lewis, G., Shrestha, P., Haviland, A. M., &amp; Nagin, D. S. (2022). </w:t>
      </w:r>
      <w:proofErr w:type="spellStart"/>
      <w:r w:rsidRPr="00A031C0">
        <w:rPr>
          <w:rFonts w:ascii="Verdana" w:hAnsi="Verdana"/>
          <w:sz w:val="20"/>
          <w:szCs w:val="20"/>
        </w:rPr>
        <w:t>Changes</w:t>
      </w:r>
      <w:proofErr w:type="spellEnd"/>
      <w:r w:rsidRPr="00A031C0">
        <w:rPr>
          <w:rFonts w:ascii="Verdana" w:hAnsi="Verdana"/>
          <w:sz w:val="20"/>
          <w:szCs w:val="20"/>
        </w:rPr>
        <w:t xml:space="preserve"> in </w:t>
      </w:r>
      <w:proofErr w:type="spellStart"/>
      <w:r w:rsidRPr="00A031C0">
        <w:rPr>
          <w:rFonts w:ascii="Verdana" w:hAnsi="Verdana"/>
          <w:sz w:val="20"/>
          <w:szCs w:val="20"/>
        </w:rPr>
        <w:t>crime</w:t>
      </w:r>
      <w:proofErr w:type="spellEnd"/>
      <w:r w:rsidRPr="00A031C0">
        <w:rPr>
          <w:rFonts w:ascii="Verdana" w:hAnsi="Verdana"/>
          <w:sz w:val="20"/>
          <w:szCs w:val="20"/>
        </w:rPr>
        <w:t xml:space="preserve"> </w:t>
      </w:r>
      <w:proofErr w:type="spellStart"/>
      <w:r w:rsidRPr="00A031C0">
        <w:rPr>
          <w:rFonts w:ascii="Verdana" w:hAnsi="Verdana"/>
          <w:sz w:val="20"/>
          <w:szCs w:val="20"/>
        </w:rPr>
        <w:t>rates</w:t>
      </w:r>
      <w:proofErr w:type="spellEnd"/>
      <w:r w:rsidRPr="00A031C0">
        <w:rPr>
          <w:rFonts w:ascii="Verdana" w:hAnsi="Verdana"/>
          <w:sz w:val="20"/>
          <w:szCs w:val="20"/>
        </w:rPr>
        <w:t xml:space="preserve"> </w:t>
      </w:r>
      <w:proofErr w:type="spellStart"/>
      <w:r w:rsidRPr="00A031C0">
        <w:rPr>
          <w:rFonts w:ascii="Verdana" w:hAnsi="Verdana"/>
          <w:sz w:val="20"/>
          <w:szCs w:val="20"/>
        </w:rPr>
        <w:t>during</w:t>
      </w:r>
      <w:proofErr w:type="spellEnd"/>
      <w:r w:rsidRPr="00A031C0">
        <w:rPr>
          <w:rFonts w:ascii="Verdana" w:hAnsi="Verdana"/>
          <w:sz w:val="20"/>
          <w:szCs w:val="20"/>
        </w:rPr>
        <w:t xml:space="preserve"> </w:t>
      </w:r>
      <w:proofErr w:type="spellStart"/>
      <w:r w:rsidRPr="00A031C0">
        <w:rPr>
          <w:rFonts w:ascii="Verdana" w:hAnsi="Verdana"/>
          <w:sz w:val="20"/>
          <w:szCs w:val="20"/>
        </w:rPr>
        <w:t>the</w:t>
      </w:r>
      <w:proofErr w:type="spellEnd"/>
      <w:r w:rsidRPr="00A031C0">
        <w:rPr>
          <w:rFonts w:ascii="Verdana" w:hAnsi="Verdana"/>
          <w:sz w:val="20"/>
          <w:szCs w:val="20"/>
        </w:rPr>
        <w:t xml:space="preserve"> COVID-19 </w:t>
      </w:r>
      <w:proofErr w:type="spellStart"/>
      <w:r w:rsidRPr="00A031C0">
        <w:rPr>
          <w:rFonts w:ascii="Verdana" w:hAnsi="Verdana"/>
          <w:sz w:val="20"/>
          <w:szCs w:val="20"/>
        </w:rPr>
        <w:t>pandemic</w:t>
      </w:r>
      <w:proofErr w:type="spellEnd"/>
      <w:r w:rsidRPr="00A031C0">
        <w:rPr>
          <w:rFonts w:ascii="Verdana" w:hAnsi="Verdana"/>
          <w:sz w:val="20"/>
          <w:szCs w:val="20"/>
        </w:rPr>
        <w:t xml:space="preserve">. </w:t>
      </w:r>
      <w:proofErr w:type="spellStart"/>
      <w:r w:rsidRPr="00A031C0">
        <w:rPr>
          <w:rFonts w:ascii="Verdana" w:hAnsi="Verdana"/>
          <w:i/>
          <w:iCs/>
          <w:sz w:val="20"/>
          <w:szCs w:val="20"/>
        </w:rPr>
        <w:t>Statistics</w:t>
      </w:r>
      <w:proofErr w:type="spellEnd"/>
      <w:r w:rsidRPr="00A031C0">
        <w:rPr>
          <w:rFonts w:ascii="Verdana" w:hAnsi="Verdana"/>
          <w:i/>
          <w:iCs/>
          <w:sz w:val="20"/>
          <w:szCs w:val="20"/>
        </w:rPr>
        <w:t xml:space="preserve"> and </w:t>
      </w:r>
      <w:proofErr w:type="spellStart"/>
      <w:r w:rsidRPr="00A031C0">
        <w:rPr>
          <w:rFonts w:ascii="Verdana" w:hAnsi="Verdana"/>
          <w:i/>
          <w:iCs/>
          <w:sz w:val="20"/>
          <w:szCs w:val="20"/>
        </w:rPr>
        <w:t>Public</w:t>
      </w:r>
      <w:proofErr w:type="spellEnd"/>
      <w:r w:rsidRPr="00A031C0">
        <w:rPr>
          <w:rFonts w:ascii="Verdana" w:hAnsi="Verdana"/>
          <w:i/>
          <w:iCs/>
          <w:sz w:val="20"/>
          <w:szCs w:val="20"/>
        </w:rPr>
        <w:t xml:space="preserve"> </w:t>
      </w:r>
      <w:proofErr w:type="spellStart"/>
      <w:r w:rsidRPr="00A031C0">
        <w:rPr>
          <w:rFonts w:ascii="Verdana" w:hAnsi="Verdana"/>
          <w:i/>
          <w:iCs/>
          <w:sz w:val="20"/>
          <w:szCs w:val="20"/>
        </w:rPr>
        <w:t>Policy</w:t>
      </w:r>
      <w:proofErr w:type="spellEnd"/>
      <w:r w:rsidRPr="00A031C0">
        <w:rPr>
          <w:rFonts w:ascii="Verdana" w:hAnsi="Verdana"/>
          <w:sz w:val="20"/>
          <w:szCs w:val="20"/>
        </w:rPr>
        <w:t xml:space="preserve">, </w:t>
      </w:r>
      <w:r w:rsidRPr="00A031C0">
        <w:rPr>
          <w:rFonts w:ascii="Verdana" w:hAnsi="Verdana"/>
          <w:i/>
          <w:iCs/>
          <w:sz w:val="20"/>
          <w:szCs w:val="20"/>
        </w:rPr>
        <w:t>9</w:t>
      </w:r>
      <w:r w:rsidRPr="00A031C0">
        <w:rPr>
          <w:rFonts w:ascii="Verdana" w:hAnsi="Verdana"/>
          <w:sz w:val="20"/>
          <w:szCs w:val="20"/>
        </w:rPr>
        <w:t xml:space="preserve">(1), 97-109. </w:t>
      </w:r>
      <w:hyperlink r:id="rId30" w:history="1">
        <w:r w:rsidRPr="00A031C0">
          <w:rPr>
            <w:rStyle w:val="Hipervnculo"/>
            <w:rFonts w:ascii="Verdana" w:hAnsi="Verdana"/>
            <w:sz w:val="20"/>
            <w:szCs w:val="20"/>
          </w:rPr>
          <w:t>https://doi.org/10.1080/2330443X.2022.2071369</w:t>
        </w:r>
      </w:hyperlink>
    </w:p>
    <w:p w14:paraId="7EAD96F5" w14:textId="7F3AEDBD" w:rsidR="00360196" w:rsidRPr="00A031C0" w:rsidRDefault="00360196" w:rsidP="00A031C0">
      <w:pPr>
        <w:spacing w:before="120" w:after="120"/>
        <w:ind w:left="709" w:hanging="709"/>
        <w:jc w:val="both"/>
        <w:rPr>
          <w:rFonts w:ascii="Verdana" w:hAnsi="Verdana"/>
          <w:sz w:val="20"/>
          <w:szCs w:val="20"/>
        </w:rPr>
      </w:pPr>
      <w:r w:rsidRPr="00A031C0">
        <w:rPr>
          <w:rFonts w:ascii="Verdana" w:hAnsi="Verdana"/>
          <w:sz w:val="20"/>
          <w:szCs w:val="20"/>
        </w:rPr>
        <w:t xml:space="preserve">Mongale, C. O. (2022). Social </w:t>
      </w:r>
      <w:proofErr w:type="spellStart"/>
      <w:r w:rsidRPr="00A031C0">
        <w:rPr>
          <w:rFonts w:ascii="Verdana" w:hAnsi="Verdana"/>
          <w:sz w:val="20"/>
          <w:szCs w:val="20"/>
        </w:rPr>
        <w:t>discontent</w:t>
      </w:r>
      <w:proofErr w:type="spellEnd"/>
      <w:r w:rsidRPr="00A031C0">
        <w:rPr>
          <w:rFonts w:ascii="Verdana" w:hAnsi="Verdana"/>
          <w:sz w:val="20"/>
          <w:szCs w:val="20"/>
        </w:rPr>
        <w:t xml:space="preserve"> </w:t>
      </w:r>
      <w:proofErr w:type="spellStart"/>
      <w:r w:rsidRPr="00A031C0">
        <w:rPr>
          <w:rFonts w:ascii="Verdana" w:hAnsi="Verdana"/>
          <w:sz w:val="20"/>
          <w:szCs w:val="20"/>
        </w:rPr>
        <w:t>or</w:t>
      </w:r>
      <w:proofErr w:type="spellEnd"/>
      <w:r w:rsidRPr="00A031C0">
        <w:rPr>
          <w:rFonts w:ascii="Verdana" w:hAnsi="Verdana"/>
          <w:sz w:val="20"/>
          <w:szCs w:val="20"/>
        </w:rPr>
        <w:t xml:space="preserve"> </w:t>
      </w:r>
      <w:proofErr w:type="spellStart"/>
      <w:r w:rsidRPr="00A031C0">
        <w:rPr>
          <w:rFonts w:ascii="Verdana" w:hAnsi="Verdana"/>
          <w:sz w:val="20"/>
          <w:szCs w:val="20"/>
        </w:rPr>
        <w:t>criminality</w:t>
      </w:r>
      <w:proofErr w:type="spellEnd"/>
      <w:r w:rsidRPr="00A031C0">
        <w:rPr>
          <w:rFonts w:ascii="Verdana" w:hAnsi="Verdana"/>
          <w:sz w:val="20"/>
          <w:szCs w:val="20"/>
        </w:rPr>
        <w:t xml:space="preserve">? </w:t>
      </w:r>
      <w:proofErr w:type="spellStart"/>
      <w:r w:rsidRPr="00A031C0">
        <w:rPr>
          <w:rFonts w:ascii="Verdana" w:hAnsi="Verdana"/>
          <w:sz w:val="20"/>
          <w:szCs w:val="20"/>
        </w:rPr>
        <w:t>Navigating</w:t>
      </w:r>
      <w:proofErr w:type="spellEnd"/>
      <w:r w:rsidRPr="00A031C0">
        <w:rPr>
          <w:rFonts w:ascii="Verdana" w:hAnsi="Verdana"/>
          <w:sz w:val="20"/>
          <w:szCs w:val="20"/>
        </w:rPr>
        <w:t xml:space="preserve"> </w:t>
      </w:r>
      <w:proofErr w:type="spellStart"/>
      <w:r w:rsidRPr="00A031C0">
        <w:rPr>
          <w:rFonts w:ascii="Verdana" w:hAnsi="Verdana"/>
          <w:sz w:val="20"/>
          <w:szCs w:val="20"/>
        </w:rPr>
        <w:t>the</w:t>
      </w:r>
      <w:proofErr w:type="spellEnd"/>
      <w:r w:rsidRPr="00A031C0">
        <w:rPr>
          <w:rFonts w:ascii="Verdana" w:hAnsi="Verdana"/>
          <w:sz w:val="20"/>
          <w:szCs w:val="20"/>
        </w:rPr>
        <w:t xml:space="preserve"> </w:t>
      </w:r>
      <w:proofErr w:type="spellStart"/>
      <w:r w:rsidRPr="00A031C0">
        <w:rPr>
          <w:rFonts w:ascii="Verdana" w:hAnsi="Verdana"/>
          <w:sz w:val="20"/>
          <w:szCs w:val="20"/>
        </w:rPr>
        <w:t>Nexus</w:t>
      </w:r>
      <w:proofErr w:type="spellEnd"/>
      <w:r w:rsidRPr="00A031C0">
        <w:rPr>
          <w:rFonts w:ascii="Verdana" w:hAnsi="Verdana"/>
          <w:sz w:val="20"/>
          <w:szCs w:val="20"/>
        </w:rPr>
        <w:t xml:space="preserve"> </w:t>
      </w:r>
      <w:proofErr w:type="spellStart"/>
      <w:r w:rsidRPr="00A031C0">
        <w:rPr>
          <w:rFonts w:ascii="Verdana" w:hAnsi="Verdana"/>
          <w:sz w:val="20"/>
          <w:szCs w:val="20"/>
        </w:rPr>
        <w:t>between</w:t>
      </w:r>
      <w:proofErr w:type="spellEnd"/>
      <w:r w:rsidRPr="00A031C0">
        <w:rPr>
          <w:rFonts w:ascii="Verdana" w:hAnsi="Verdana"/>
          <w:sz w:val="20"/>
          <w:szCs w:val="20"/>
        </w:rPr>
        <w:t xml:space="preserve"> </w:t>
      </w:r>
      <w:proofErr w:type="spellStart"/>
      <w:r w:rsidRPr="00A031C0">
        <w:rPr>
          <w:rFonts w:ascii="Verdana" w:hAnsi="Verdana"/>
          <w:sz w:val="20"/>
          <w:szCs w:val="20"/>
        </w:rPr>
        <w:t>urban</w:t>
      </w:r>
      <w:proofErr w:type="spellEnd"/>
      <w:r w:rsidRPr="00A031C0">
        <w:rPr>
          <w:rFonts w:ascii="Verdana" w:hAnsi="Verdana"/>
          <w:sz w:val="20"/>
          <w:szCs w:val="20"/>
        </w:rPr>
        <w:t xml:space="preserve"> </w:t>
      </w:r>
      <w:proofErr w:type="spellStart"/>
      <w:r w:rsidRPr="00A031C0">
        <w:rPr>
          <w:rFonts w:ascii="Verdana" w:hAnsi="Verdana"/>
          <w:sz w:val="20"/>
          <w:szCs w:val="20"/>
        </w:rPr>
        <w:t>riots</w:t>
      </w:r>
      <w:proofErr w:type="spellEnd"/>
      <w:r w:rsidRPr="00A031C0">
        <w:rPr>
          <w:rFonts w:ascii="Verdana" w:hAnsi="Verdana"/>
          <w:sz w:val="20"/>
          <w:szCs w:val="20"/>
        </w:rPr>
        <w:t xml:space="preserve"> and criminal </w:t>
      </w:r>
      <w:proofErr w:type="spellStart"/>
      <w:r w:rsidRPr="00A031C0">
        <w:rPr>
          <w:rFonts w:ascii="Verdana" w:hAnsi="Verdana"/>
          <w:sz w:val="20"/>
          <w:szCs w:val="20"/>
        </w:rPr>
        <w:t>activities</w:t>
      </w:r>
      <w:proofErr w:type="spellEnd"/>
      <w:r w:rsidRPr="00A031C0">
        <w:rPr>
          <w:rFonts w:ascii="Verdana" w:hAnsi="Verdana"/>
          <w:sz w:val="20"/>
          <w:szCs w:val="20"/>
        </w:rPr>
        <w:t xml:space="preserve"> in Gauteng and KwaZulu-Natal </w:t>
      </w:r>
      <w:proofErr w:type="spellStart"/>
      <w:r w:rsidRPr="00A031C0">
        <w:rPr>
          <w:rFonts w:ascii="Verdana" w:hAnsi="Verdana"/>
          <w:sz w:val="20"/>
          <w:szCs w:val="20"/>
        </w:rPr>
        <w:t>Provinces</w:t>
      </w:r>
      <w:proofErr w:type="spellEnd"/>
      <w:r w:rsidRPr="00A031C0">
        <w:rPr>
          <w:rFonts w:ascii="Verdana" w:hAnsi="Verdana"/>
          <w:sz w:val="20"/>
          <w:szCs w:val="20"/>
        </w:rPr>
        <w:t xml:space="preserve">, South </w:t>
      </w:r>
      <w:proofErr w:type="spellStart"/>
      <w:r w:rsidRPr="00A031C0">
        <w:rPr>
          <w:rFonts w:ascii="Verdana" w:hAnsi="Verdana"/>
          <w:sz w:val="20"/>
          <w:szCs w:val="20"/>
        </w:rPr>
        <w:t>Africa</w:t>
      </w:r>
      <w:proofErr w:type="spellEnd"/>
      <w:r w:rsidRPr="00A031C0">
        <w:rPr>
          <w:rFonts w:ascii="Verdana" w:hAnsi="Verdana"/>
          <w:sz w:val="20"/>
          <w:szCs w:val="20"/>
        </w:rPr>
        <w:t xml:space="preserve"> (2021). </w:t>
      </w:r>
      <w:proofErr w:type="spellStart"/>
      <w:r w:rsidRPr="00A031C0">
        <w:rPr>
          <w:rFonts w:ascii="Verdana" w:hAnsi="Verdana"/>
          <w:i/>
          <w:iCs/>
          <w:sz w:val="20"/>
          <w:szCs w:val="20"/>
        </w:rPr>
        <w:t>Frontiers</w:t>
      </w:r>
      <w:proofErr w:type="spellEnd"/>
      <w:r w:rsidRPr="00A031C0">
        <w:rPr>
          <w:rFonts w:ascii="Verdana" w:hAnsi="Verdana"/>
          <w:i/>
          <w:iCs/>
          <w:sz w:val="20"/>
          <w:szCs w:val="20"/>
        </w:rPr>
        <w:t xml:space="preserve"> in </w:t>
      </w:r>
      <w:proofErr w:type="spellStart"/>
      <w:r w:rsidRPr="00A031C0">
        <w:rPr>
          <w:rFonts w:ascii="Verdana" w:hAnsi="Verdana"/>
          <w:i/>
          <w:iCs/>
          <w:sz w:val="20"/>
          <w:szCs w:val="20"/>
        </w:rPr>
        <w:t>Sustainable</w:t>
      </w:r>
      <w:proofErr w:type="spellEnd"/>
      <w:r w:rsidRPr="00A031C0">
        <w:rPr>
          <w:rFonts w:ascii="Verdana" w:hAnsi="Verdana"/>
          <w:i/>
          <w:iCs/>
          <w:sz w:val="20"/>
          <w:szCs w:val="20"/>
        </w:rPr>
        <w:t xml:space="preserve"> </w:t>
      </w:r>
      <w:proofErr w:type="spellStart"/>
      <w:r w:rsidRPr="00A031C0">
        <w:rPr>
          <w:rFonts w:ascii="Verdana" w:hAnsi="Verdana"/>
          <w:i/>
          <w:iCs/>
          <w:sz w:val="20"/>
          <w:szCs w:val="20"/>
        </w:rPr>
        <w:t>Cities</w:t>
      </w:r>
      <w:proofErr w:type="spellEnd"/>
      <w:r w:rsidRPr="00A031C0">
        <w:rPr>
          <w:rFonts w:ascii="Verdana" w:hAnsi="Verdana"/>
          <w:sz w:val="20"/>
          <w:szCs w:val="20"/>
        </w:rPr>
        <w:t xml:space="preserve">, </w:t>
      </w:r>
      <w:r w:rsidRPr="00A031C0">
        <w:rPr>
          <w:rFonts w:ascii="Verdana" w:hAnsi="Verdana"/>
          <w:i/>
          <w:iCs/>
          <w:sz w:val="20"/>
          <w:szCs w:val="20"/>
        </w:rPr>
        <w:t>4</w:t>
      </w:r>
      <w:r w:rsidRPr="00A031C0">
        <w:rPr>
          <w:rFonts w:ascii="Verdana" w:hAnsi="Verdana"/>
          <w:sz w:val="20"/>
          <w:szCs w:val="20"/>
        </w:rPr>
        <w:t xml:space="preserve">, 865255. </w:t>
      </w:r>
      <w:hyperlink r:id="rId31" w:history="1">
        <w:r w:rsidRPr="00A031C0">
          <w:rPr>
            <w:rStyle w:val="Hipervnculo"/>
            <w:rFonts w:ascii="Verdana" w:hAnsi="Verdana"/>
            <w:sz w:val="20"/>
            <w:szCs w:val="20"/>
          </w:rPr>
          <w:t>https://doi.org/10.3389/frsc.2022.865255</w:t>
        </w:r>
      </w:hyperlink>
    </w:p>
    <w:p w14:paraId="2C7B6543" w14:textId="27F8D4AB" w:rsidR="00360196" w:rsidRPr="00A031C0" w:rsidRDefault="00360196" w:rsidP="00A031C0">
      <w:pPr>
        <w:spacing w:before="120" w:after="120"/>
        <w:ind w:left="709" w:hanging="709"/>
        <w:jc w:val="both"/>
        <w:rPr>
          <w:rFonts w:ascii="Verdana" w:hAnsi="Verdana"/>
          <w:sz w:val="20"/>
          <w:szCs w:val="20"/>
        </w:rPr>
      </w:pPr>
      <w:r w:rsidRPr="00A031C0">
        <w:rPr>
          <w:rFonts w:ascii="Verdana" w:hAnsi="Verdana"/>
          <w:sz w:val="20"/>
          <w:szCs w:val="20"/>
        </w:rPr>
        <w:t xml:space="preserve">Regalado, J., Timmer, A., &amp; Jawaid, A. (2022). </w:t>
      </w:r>
      <w:proofErr w:type="spellStart"/>
      <w:r w:rsidRPr="00A031C0">
        <w:rPr>
          <w:rFonts w:ascii="Verdana" w:hAnsi="Verdana"/>
          <w:sz w:val="20"/>
          <w:szCs w:val="20"/>
        </w:rPr>
        <w:t>Crime</w:t>
      </w:r>
      <w:proofErr w:type="spellEnd"/>
      <w:r w:rsidRPr="00A031C0">
        <w:rPr>
          <w:rFonts w:ascii="Verdana" w:hAnsi="Verdana"/>
          <w:sz w:val="20"/>
          <w:szCs w:val="20"/>
        </w:rPr>
        <w:t xml:space="preserve"> and </w:t>
      </w:r>
      <w:proofErr w:type="spellStart"/>
      <w:r w:rsidRPr="00A031C0">
        <w:rPr>
          <w:rFonts w:ascii="Verdana" w:hAnsi="Verdana"/>
          <w:sz w:val="20"/>
          <w:szCs w:val="20"/>
        </w:rPr>
        <w:t>deviance</w:t>
      </w:r>
      <w:proofErr w:type="spellEnd"/>
      <w:r w:rsidRPr="00A031C0">
        <w:rPr>
          <w:rFonts w:ascii="Verdana" w:hAnsi="Verdana"/>
          <w:sz w:val="20"/>
          <w:szCs w:val="20"/>
        </w:rPr>
        <w:t xml:space="preserve"> </w:t>
      </w:r>
      <w:proofErr w:type="spellStart"/>
      <w:r w:rsidRPr="00A031C0">
        <w:rPr>
          <w:rFonts w:ascii="Verdana" w:hAnsi="Verdana"/>
          <w:sz w:val="20"/>
          <w:szCs w:val="20"/>
        </w:rPr>
        <w:t>during</w:t>
      </w:r>
      <w:proofErr w:type="spellEnd"/>
      <w:r w:rsidRPr="00A031C0">
        <w:rPr>
          <w:rFonts w:ascii="Verdana" w:hAnsi="Verdana"/>
          <w:sz w:val="20"/>
          <w:szCs w:val="20"/>
        </w:rPr>
        <w:t xml:space="preserve"> </w:t>
      </w:r>
      <w:proofErr w:type="spellStart"/>
      <w:r w:rsidRPr="00A031C0">
        <w:rPr>
          <w:rFonts w:ascii="Verdana" w:hAnsi="Verdana"/>
          <w:sz w:val="20"/>
          <w:szCs w:val="20"/>
        </w:rPr>
        <w:t>the</w:t>
      </w:r>
      <w:proofErr w:type="spellEnd"/>
      <w:r w:rsidRPr="00A031C0">
        <w:rPr>
          <w:rFonts w:ascii="Verdana" w:hAnsi="Verdana"/>
          <w:sz w:val="20"/>
          <w:szCs w:val="20"/>
        </w:rPr>
        <w:t xml:space="preserve"> COVID</w:t>
      </w:r>
      <w:r w:rsidRPr="00A031C0">
        <w:rPr>
          <w:rFonts w:ascii="Cambria Math" w:hAnsi="Cambria Math" w:cs="Cambria Math"/>
          <w:sz w:val="20"/>
          <w:szCs w:val="20"/>
        </w:rPr>
        <w:t>‐</w:t>
      </w:r>
      <w:r w:rsidRPr="00A031C0">
        <w:rPr>
          <w:rFonts w:ascii="Verdana" w:hAnsi="Verdana"/>
          <w:sz w:val="20"/>
          <w:szCs w:val="20"/>
        </w:rPr>
        <w:t xml:space="preserve">19 </w:t>
      </w:r>
      <w:proofErr w:type="spellStart"/>
      <w:r w:rsidRPr="00A031C0">
        <w:rPr>
          <w:rFonts w:ascii="Verdana" w:hAnsi="Verdana"/>
          <w:sz w:val="20"/>
          <w:szCs w:val="20"/>
        </w:rPr>
        <w:t>pandemic</w:t>
      </w:r>
      <w:proofErr w:type="spellEnd"/>
      <w:r w:rsidRPr="00A031C0">
        <w:rPr>
          <w:rFonts w:ascii="Verdana" w:hAnsi="Verdana"/>
          <w:sz w:val="20"/>
          <w:szCs w:val="20"/>
        </w:rPr>
        <w:t xml:space="preserve">. </w:t>
      </w:r>
      <w:proofErr w:type="spellStart"/>
      <w:r w:rsidRPr="00A031C0">
        <w:rPr>
          <w:rFonts w:ascii="Verdana" w:hAnsi="Verdana"/>
          <w:i/>
          <w:iCs/>
          <w:sz w:val="20"/>
          <w:szCs w:val="20"/>
        </w:rPr>
        <w:t>Sociology</w:t>
      </w:r>
      <w:proofErr w:type="spellEnd"/>
      <w:r w:rsidRPr="00A031C0">
        <w:rPr>
          <w:rFonts w:ascii="Verdana" w:hAnsi="Verdana"/>
          <w:i/>
          <w:iCs/>
          <w:sz w:val="20"/>
          <w:szCs w:val="20"/>
        </w:rPr>
        <w:t xml:space="preserve"> </w:t>
      </w:r>
      <w:proofErr w:type="spellStart"/>
      <w:r w:rsidRPr="00A031C0">
        <w:rPr>
          <w:rFonts w:ascii="Verdana" w:hAnsi="Verdana"/>
          <w:i/>
          <w:iCs/>
          <w:sz w:val="20"/>
          <w:szCs w:val="20"/>
        </w:rPr>
        <w:t>compass</w:t>
      </w:r>
      <w:proofErr w:type="spellEnd"/>
      <w:r w:rsidRPr="00A031C0">
        <w:rPr>
          <w:rFonts w:ascii="Verdana" w:hAnsi="Verdana"/>
          <w:sz w:val="20"/>
          <w:szCs w:val="20"/>
        </w:rPr>
        <w:t xml:space="preserve">, </w:t>
      </w:r>
      <w:r w:rsidRPr="00A031C0">
        <w:rPr>
          <w:rFonts w:ascii="Verdana" w:hAnsi="Verdana"/>
          <w:i/>
          <w:iCs/>
          <w:sz w:val="20"/>
          <w:szCs w:val="20"/>
        </w:rPr>
        <w:t>16</w:t>
      </w:r>
      <w:r w:rsidRPr="00A031C0">
        <w:rPr>
          <w:rFonts w:ascii="Verdana" w:hAnsi="Verdana"/>
          <w:sz w:val="20"/>
          <w:szCs w:val="20"/>
        </w:rPr>
        <w:t xml:space="preserve">(4), e12974. </w:t>
      </w:r>
      <w:hyperlink r:id="rId32" w:history="1">
        <w:r w:rsidRPr="00A031C0">
          <w:rPr>
            <w:rStyle w:val="Hipervnculo"/>
            <w:rFonts w:ascii="Verdana" w:hAnsi="Verdana"/>
            <w:sz w:val="20"/>
            <w:szCs w:val="20"/>
          </w:rPr>
          <w:t>https://doi.org/10.1111/soc4.12974</w:t>
        </w:r>
      </w:hyperlink>
    </w:p>
    <w:p w14:paraId="48A829A6" w14:textId="722DB394" w:rsidR="00360196" w:rsidRPr="00A031C0" w:rsidRDefault="00360196" w:rsidP="00A031C0">
      <w:pPr>
        <w:spacing w:before="120" w:after="120"/>
        <w:ind w:left="709" w:hanging="709"/>
        <w:jc w:val="both"/>
        <w:rPr>
          <w:rFonts w:ascii="Verdana" w:hAnsi="Verdana"/>
          <w:sz w:val="20"/>
          <w:szCs w:val="20"/>
        </w:rPr>
      </w:pPr>
      <w:r w:rsidRPr="00A031C0">
        <w:rPr>
          <w:rFonts w:ascii="Verdana" w:hAnsi="Verdana"/>
          <w:sz w:val="20"/>
          <w:szCs w:val="20"/>
        </w:rPr>
        <w:t xml:space="preserve">Rosenfeld, R., Abt, T., y </w:t>
      </w:r>
      <w:proofErr w:type="spellStart"/>
      <w:r w:rsidRPr="00A031C0">
        <w:rPr>
          <w:rFonts w:ascii="Verdana" w:hAnsi="Verdana"/>
          <w:sz w:val="20"/>
          <w:szCs w:val="20"/>
        </w:rPr>
        <w:t>Lopez</w:t>
      </w:r>
      <w:proofErr w:type="spellEnd"/>
      <w:r w:rsidRPr="00A031C0">
        <w:rPr>
          <w:rFonts w:ascii="Verdana" w:hAnsi="Verdana"/>
          <w:sz w:val="20"/>
          <w:szCs w:val="20"/>
        </w:rPr>
        <w:t xml:space="preserve">, E. (2021). </w:t>
      </w:r>
      <w:proofErr w:type="spellStart"/>
      <w:r w:rsidRPr="00A031C0">
        <w:rPr>
          <w:rFonts w:ascii="Verdana" w:hAnsi="Verdana"/>
          <w:sz w:val="20"/>
          <w:szCs w:val="20"/>
        </w:rPr>
        <w:t>Pandemic</w:t>
      </w:r>
      <w:proofErr w:type="spellEnd"/>
      <w:r w:rsidRPr="00A031C0">
        <w:rPr>
          <w:rFonts w:ascii="Verdana" w:hAnsi="Verdana"/>
          <w:sz w:val="20"/>
          <w:szCs w:val="20"/>
        </w:rPr>
        <w:t xml:space="preserve">, social </w:t>
      </w:r>
      <w:proofErr w:type="spellStart"/>
      <w:r w:rsidRPr="00A031C0">
        <w:rPr>
          <w:rFonts w:ascii="Verdana" w:hAnsi="Verdana"/>
          <w:sz w:val="20"/>
          <w:szCs w:val="20"/>
        </w:rPr>
        <w:t>unrest</w:t>
      </w:r>
      <w:proofErr w:type="spellEnd"/>
      <w:r w:rsidRPr="00A031C0">
        <w:rPr>
          <w:rFonts w:ascii="Verdana" w:hAnsi="Verdana"/>
          <w:sz w:val="20"/>
          <w:szCs w:val="20"/>
        </w:rPr>
        <w:t xml:space="preserve">, and </w:t>
      </w:r>
      <w:proofErr w:type="spellStart"/>
      <w:r w:rsidRPr="00A031C0">
        <w:rPr>
          <w:rFonts w:ascii="Verdana" w:hAnsi="Verdana"/>
          <w:sz w:val="20"/>
          <w:szCs w:val="20"/>
        </w:rPr>
        <w:t>crime</w:t>
      </w:r>
      <w:proofErr w:type="spellEnd"/>
      <w:r w:rsidRPr="00A031C0">
        <w:rPr>
          <w:rFonts w:ascii="Verdana" w:hAnsi="Verdana"/>
          <w:sz w:val="20"/>
          <w:szCs w:val="20"/>
        </w:rPr>
        <w:t xml:space="preserve"> in US </w:t>
      </w:r>
      <w:proofErr w:type="spellStart"/>
      <w:r w:rsidRPr="00A031C0">
        <w:rPr>
          <w:rFonts w:ascii="Verdana" w:hAnsi="Verdana"/>
          <w:sz w:val="20"/>
          <w:szCs w:val="20"/>
        </w:rPr>
        <w:t>cities</w:t>
      </w:r>
      <w:proofErr w:type="spellEnd"/>
      <w:r w:rsidRPr="00A031C0">
        <w:rPr>
          <w:rFonts w:ascii="Verdana" w:hAnsi="Verdana"/>
          <w:sz w:val="20"/>
          <w:szCs w:val="20"/>
        </w:rPr>
        <w:t xml:space="preserve">. </w:t>
      </w:r>
      <w:proofErr w:type="spellStart"/>
      <w:r w:rsidRPr="00A031C0">
        <w:rPr>
          <w:rFonts w:ascii="Verdana" w:hAnsi="Verdana"/>
          <w:i/>
          <w:iCs/>
          <w:sz w:val="20"/>
          <w:szCs w:val="20"/>
        </w:rPr>
        <w:t>National</w:t>
      </w:r>
      <w:proofErr w:type="spellEnd"/>
      <w:r w:rsidRPr="00A031C0">
        <w:rPr>
          <w:rFonts w:ascii="Verdana" w:hAnsi="Verdana"/>
          <w:i/>
          <w:iCs/>
          <w:sz w:val="20"/>
          <w:szCs w:val="20"/>
        </w:rPr>
        <w:t xml:space="preserve"> </w:t>
      </w:r>
      <w:proofErr w:type="spellStart"/>
      <w:r w:rsidRPr="00A031C0">
        <w:rPr>
          <w:rFonts w:ascii="Verdana" w:hAnsi="Verdana"/>
          <w:i/>
          <w:iCs/>
          <w:sz w:val="20"/>
          <w:szCs w:val="20"/>
        </w:rPr>
        <w:t>Commission</w:t>
      </w:r>
      <w:proofErr w:type="spellEnd"/>
      <w:r w:rsidRPr="00A031C0">
        <w:rPr>
          <w:rFonts w:ascii="Verdana" w:hAnsi="Verdana"/>
          <w:i/>
          <w:iCs/>
          <w:sz w:val="20"/>
          <w:szCs w:val="20"/>
        </w:rPr>
        <w:t xml:space="preserve"> </w:t>
      </w:r>
      <w:proofErr w:type="spellStart"/>
      <w:r w:rsidRPr="00A031C0">
        <w:rPr>
          <w:rFonts w:ascii="Verdana" w:hAnsi="Verdana"/>
          <w:i/>
          <w:iCs/>
          <w:sz w:val="20"/>
          <w:szCs w:val="20"/>
        </w:rPr>
        <w:t>on</w:t>
      </w:r>
      <w:proofErr w:type="spellEnd"/>
      <w:r w:rsidRPr="00A031C0">
        <w:rPr>
          <w:rFonts w:ascii="Verdana" w:hAnsi="Verdana"/>
          <w:i/>
          <w:iCs/>
          <w:sz w:val="20"/>
          <w:szCs w:val="20"/>
        </w:rPr>
        <w:t xml:space="preserve"> COVID-19 and Criminal Justice &amp; Arnold Ventures</w:t>
      </w:r>
      <w:r w:rsidRPr="00A031C0">
        <w:rPr>
          <w:rFonts w:ascii="Verdana" w:hAnsi="Verdana"/>
          <w:sz w:val="20"/>
          <w:szCs w:val="20"/>
        </w:rPr>
        <w:t xml:space="preserve">. </w:t>
      </w:r>
      <w:hyperlink r:id="rId33" w:history="1">
        <w:r w:rsidRPr="00A031C0">
          <w:rPr>
            <w:rStyle w:val="Hipervnculo"/>
            <w:rFonts w:ascii="Verdana" w:hAnsi="Verdana"/>
            <w:sz w:val="20"/>
            <w:szCs w:val="20"/>
          </w:rPr>
          <w:t>https://counciloncj.org/wp-content/uploads/2024/05/Year-End-Crime-Update_Designed.pdf</w:t>
        </w:r>
      </w:hyperlink>
    </w:p>
    <w:p w14:paraId="33A02988" w14:textId="0D2B7E16" w:rsidR="00360196" w:rsidRPr="00A031C0" w:rsidRDefault="00360196" w:rsidP="00A031C0">
      <w:pPr>
        <w:spacing w:before="120" w:after="120"/>
        <w:ind w:left="709" w:hanging="709"/>
        <w:jc w:val="both"/>
        <w:rPr>
          <w:rFonts w:ascii="Verdana" w:hAnsi="Verdana"/>
          <w:sz w:val="20"/>
          <w:szCs w:val="20"/>
        </w:rPr>
      </w:pPr>
      <w:r w:rsidRPr="00A031C0">
        <w:rPr>
          <w:rFonts w:ascii="Verdana" w:hAnsi="Verdana"/>
          <w:sz w:val="20"/>
          <w:szCs w:val="20"/>
        </w:rPr>
        <w:t xml:space="preserve">Seyidoglu, H., Farrell, G., Dixon, A., Pina-Sánchez, J., &amp; </w:t>
      </w:r>
      <w:proofErr w:type="spellStart"/>
      <w:r w:rsidRPr="00A031C0">
        <w:rPr>
          <w:rFonts w:ascii="Verdana" w:hAnsi="Verdana"/>
          <w:sz w:val="20"/>
          <w:szCs w:val="20"/>
        </w:rPr>
        <w:t>Malleson</w:t>
      </w:r>
      <w:proofErr w:type="spellEnd"/>
      <w:r w:rsidRPr="00A031C0">
        <w:rPr>
          <w:rFonts w:ascii="Verdana" w:hAnsi="Verdana"/>
          <w:sz w:val="20"/>
          <w:szCs w:val="20"/>
        </w:rPr>
        <w:t>, N. (2024). Post-</w:t>
      </w:r>
      <w:proofErr w:type="spellStart"/>
      <w:r w:rsidRPr="00A031C0">
        <w:rPr>
          <w:rFonts w:ascii="Verdana" w:hAnsi="Verdana"/>
          <w:sz w:val="20"/>
          <w:szCs w:val="20"/>
        </w:rPr>
        <w:t>pandemic</w:t>
      </w:r>
      <w:proofErr w:type="spellEnd"/>
      <w:r w:rsidRPr="00A031C0">
        <w:rPr>
          <w:rFonts w:ascii="Verdana" w:hAnsi="Verdana"/>
          <w:sz w:val="20"/>
          <w:szCs w:val="20"/>
        </w:rPr>
        <w:t xml:space="preserve"> </w:t>
      </w:r>
      <w:proofErr w:type="spellStart"/>
      <w:r w:rsidRPr="00A031C0">
        <w:rPr>
          <w:rFonts w:ascii="Verdana" w:hAnsi="Verdana"/>
          <w:sz w:val="20"/>
          <w:szCs w:val="20"/>
        </w:rPr>
        <w:t>crime</w:t>
      </w:r>
      <w:proofErr w:type="spellEnd"/>
      <w:r w:rsidRPr="00A031C0">
        <w:rPr>
          <w:rFonts w:ascii="Verdana" w:hAnsi="Verdana"/>
          <w:sz w:val="20"/>
          <w:szCs w:val="20"/>
        </w:rPr>
        <w:t xml:space="preserve"> </w:t>
      </w:r>
      <w:proofErr w:type="spellStart"/>
      <w:r w:rsidRPr="00A031C0">
        <w:rPr>
          <w:rFonts w:ascii="Verdana" w:hAnsi="Verdana"/>
          <w:sz w:val="20"/>
          <w:szCs w:val="20"/>
        </w:rPr>
        <w:t>trends</w:t>
      </w:r>
      <w:proofErr w:type="spellEnd"/>
      <w:r w:rsidRPr="00A031C0">
        <w:rPr>
          <w:rFonts w:ascii="Verdana" w:hAnsi="Verdana"/>
          <w:sz w:val="20"/>
          <w:szCs w:val="20"/>
        </w:rPr>
        <w:t xml:space="preserve"> in England and Wales. </w:t>
      </w:r>
      <w:proofErr w:type="spellStart"/>
      <w:r w:rsidRPr="00A031C0">
        <w:rPr>
          <w:rFonts w:ascii="Verdana" w:hAnsi="Verdana"/>
          <w:i/>
          <w:iCs/>
          <w:sz w:val="20"/>
          <w:szCs w:val="20"/>
        </w:rPr>
        <w:t>Crime</w:t>
      </w:r>
      <w:proofErr w:type="spellEnd"/>
      <w:r w:rsidRPr="00A031C0">
        <w:rPr>
          <w:rFonts w:ascii="Verdana" w:hAnsi="Verdana"/>
          <w:i/>
          <w:iCs/>
          <w:sz w:val="20"/>
          <w:szCs w:val="20"/>
        </w:rPr>
        <w:t xml:space="preserve"> </w:t>
      </w:r>
      <w:proofErr w:type="spellStart"/>
      <w:r w:rsidRPr="00A031C0">
        <w:rPr>
          <w:rFonts w:ascii="Verdana" w:hAnsi="Verdana"/>
          <w:i/>
          <w:iCs/>
          <w:sz w:val="20"/>
          <w:szCs w:val="20"/>
        </w:rPr>
        <w:t>Science</w:t>
      </w:r>
      <w:proofErr w:type="spellEnd"/>
      <w:r w:rsidRPr="00A031C0">
        <w:rPr>
          <w:rFonts w:ascii="Verdana" w:hAnsi="Verdana"/>
          <w:sz w:val="20"/>
          <w:szCs w:val="20"/>
        </w:rPr>
        <w:t xml:space="preserve">, </w:t>
      </w:r>
      <w:r w:rsidRPr="00A031C0">
        <w:rPr>
          <w:rFonts w:ascii="Verdana" w:hAnsi="Verdana"/>
          <w:i/>
          <w:iCs/>
          <w:sz w:val="20"/>
          <w:szCs w:val="20"/>
        </w:rPr>
        <w:t>13</w:t>
      </w:r>
      <w:r w:rsidRPr="00A031C0">
        <w:rPr>
          <w:rFonts w:ascii="Verdana" w:hAnsi="Verdana"/>
          <w:sz w:val="20"/>
          <w:szCs w:val="20"/>
        </w:rPr>
        <w:t xml:space="preserve">(1), 6. </w:t>
      </w:r>
      <w:hyperlink r:id="rId34" w:history="1">
        <w:r w:rsidRPr="00A031C0">
          <w:rPr>
            <w:rStyle w:val="Hipervnculo"/>
            <w:rFonts w:ascii="Verdana" w:hAnsi="Verdana"/>
            <w:sz w:val="20"/>
            <w:szCs w:val="20"/>
          </w:rPr>
          <w:t>https://doi.org/10.1186/s40163-024-00201-1</w:t>
        </w:r>
      </w:hyperlink>
    </w:p>
    <w:p w14:paraId="7B39ABCD" w14:textId="09C81FFE" w:rsidR="00360196" w:rsidRPr="00A031C0" w:rsidRDefault="00AC5BC9" w:rsidP="00A031C0">
      <w:pPr>
        <w:spacing w:before="120" w:after="120"/>
        <w:ind w:left="709" w:hanging="709"/>
        <w:jc w:val="both"/>
        <w:rPr>
          <w:rFonts w:ascii="Verdana" w:hAnsi="Verdana"/>
          <w:sz w:val="20"/>
          <w:szCs w:val="20"/>
        </w:rPr>
      </w:pPr>
      <w:r w:rsidRPr="00A031C0">
        <w:rPr>
          <w:rFonts w:ascii="Verdana" w:hAnsi="Verdana"/>
          <w:sz w:val="20"/>
          <w:szCs w:val="20"/>
        </w:rPr>
        <w:t>Shahid, M., Ahmad, K., Inayat, M. A., &amp; Bhatti, M. K. (2024). Socio-</w:t>
      </w:r>
      <w:proofErr w:type="spellStart"/>
      <w:r w:rsidRPr="00A031C0">
        <w:rPr>
          <w:rFonts w:ascii="Verdana" w:hAnsi="Verdana"/>
          <w:sz w:val="20"/>
          <w:szCs w:val="20"/>
        </w:rPr>
        <w:t>economic</w:t>
      </w:r>
      <w:proofErr w:type="spellEnd"/>
      <w:r w:rsidRPr="00A031C0">
        <w:rPr>
          <w:rFonts w:ascii="Verdana" w:hAnsi="Verdana"/>
          <w:sz w:val="20"/>
          <w:szCs w:val="20"/>
        </w:rPr>
        <w:t xml:space="preserve"> </w:t>
      </w:r>
      <w:proofErr w:type="spellStart"/>
      <w:r w:rsidRPr="00A031C0">
        <w:rPr>
          <w:rFonts w:ascii="Verdana" w:hAnsi="Verdana"/>
          <w:sz w:val="20"/>
          <w:szCs w:val="20"/>
        </w:rPr>
        <w:t>determinants</w:t>
      </w:r>
      <w:proofErr w:type="spellEnd"/>
      <w:r w:rsidRPr="00A031C0">
        <w:rPr>
          <w:rFonts w:ascii="Verdana" w:hAnsi="Verdana"/>
          <w:sz w:val="20"/>
          <w:szCs w:val="20"/>
        </w:rPr>
        <w:t xml:space="preserve"> of </w:t>
      </w:r>
      <w:proofErr w:type="spellStart"/>
      <w:r w:rsidRPr="00A031C0">
        <w:rPr>
          <w:rFonts w:ascii="Verdana" w:hAnsi="Verdana"/>
          <w:sz w:val="20"/>
          <w:szCs w:val="20"/>
        </w:rPr>
        <w:t>property</w:t>
      </w:r>
      <w:proofErr w:type="spellEnd"/>
      <w:r w:rsidRPr="00A031C0">
        <w:rPr>
          <w:rFonts w:ascii="Verdana" w:hAnsi="Verdana"/>
          <w:sz w:val="20"/>
          <w:szCs w:val="20"/>
        </w:rPr>
        <w:t xml:space="preserve"> </w:t>
      </w:r>
      <w:proofErr w:type="spellStart"/>
      <w:r w:rsidRPr="00A031C0">
        <w:rPr>
          <w:rFonts w:ascii="Verdana" w:hAnsi="Verdana"/>
          <w:sz w:val="20"/>
          <w:szCs w:val="20"/>
        </w:rPr>
        <w:t>crime</w:t>
      </w:r>
      <w:proofErr w:type="spellEnd"/>
      <w:r w:rsidRPr="00A031C0">
        <w:rPr>
          <w:rFonts w:ascii="Verdana" w:hAnsi="Verdana"/>
          <w:sz w:val="20"/>
          <w:szCs w:val="20"/>
        </w:rPr>
        <w:t xml:space="preserve"> </w:t>
      </w:r>
      <w:proofErr w:type="spellStart"/>
      <w:r w:rsidRPr="00A031C0">
        <w:rPr>
          <w:rFonts w:ascii="Verdana" w:hAnsi="Verdana"/>
          <w:sz w:val="20"/>
          <w:szCs w:val="20"/>
        </w:rPr>
        <w:t>across</w:t>
      </w:r>
      <w:proofErr w:type="spellEnd"/>
      <w:r w:rsidRPr="00A031C0">
        <w:rPr>
          <w:rFonts w:ascii="Verdana" w:hAnsi="Verdana"/>
          <w:sz w:val="20"/>
          <w:szCs w:val="20"/>
        </w:rPr>
        <w:t xml:space="preserve"> </w:t>
      </w:r>
      <w:proofErr w:type="spellStart"/>
      <w:r w:rsidRPr="00A031C0">
        <w:rPr>
          <w:rFonts w:ascii="Verdana" w:hAnsi="Verdana"/>
          <w:sz w:val="20"/>
          <w:szCs w:val="20"/>
        </w:rPr>
        <w:t>the</w:t>
      </w:r>
      <w:proofErr w:type="spellEnd"/>
      <w:r w:rsidRPr="00A031C0">
        <w:rPr>
          <w:rFonts w:ascii="Verdana" w:hAnsi="Verdana"/>
          <w:sz w:val="20"/>
          <w:szCs w:val="20"/>
        </w:rPr>
        <w:t xml:space="preserve"> </w:t>
      </w:r>
      <w:proofErr w:type="spellStart"/>
      <w:r w:rsidRPr="00A031C0">
        <w:rPr>
          <w:rFonts w:ascii="Verdana" w:hAnsi="Verdana"/>
          <w:sz w:val="20"/>
          <w:szCs w:val="20"/>
        </w:rPr>
        <w:t>districts</w:t>
      </w:r>
      <w:proofErr w:type="spellEnd"/>
      <w:r w:rsidRPr="00A031C0">
        <w:rPr>
          <w:rFonts w:ascii="Verdana" w:hAnsi="Verdana"/>
          <w:sz w:val="20"/>
          <w:szCs w:val="20"/>
        </w:rPr>
        <w:t xml:space="preserve"> of Punjab: </w:t>
      </w:r>
      <w:proofErr w:type="spellStart"/>
      <w:r w:rsidRPr="00A031C0">
        <w:rPr>
          <w:rFonts w:ascii="Verdana" w:hAnsi="Verdana"/>
          <w:sz w:val="20"/>
          <w:szCs w:val="20"/>
        </w:rPr>
        <w:t>Highlighting</w:t>
      </w:r>
      <w:proofErr w:type="spellEnd"/>
      <w:r w:rsidRPr="00A031C0">
        <w:rPr>
          <w:rFonts w:ascii="Verdana" w:hAnsi="Verdana"/>
          <w:sz w:val="20"/>
          <w:szCs w:val="20"/>
        </w:rPr>
        <w:t xml:space="preserve"> </w:t>
      </w:r>
      <w:proofErr w:type="spellStart"/>
      <w:r w:rsidRPr="00A031C0">
        <w:rPr>
          <w:rFonts w:ascii="Verdana" w:hAnsi="Verdana"/>
          <w:sz w:val="20"/>
          <w:szCs w:val="20"/>
        </w:rPr>
        <w:t>the</w:t>
      </w:r>
      <w:proofErr w:type="spellEnd"/>
      <w:r w:rsidRPr="00A031C0">
        <w:rPr>
          <w:rFonts w:ascii="Verdana" w:hAnsi="Verdana"/>
          <w:sz w:val="20"/>
          <w:szCs w:val="20"/>
        </w:rPr>
        <w:t xml:space="preserve"> role of </w:t>
      </w:r>
      <w:proofErr w:type="spellStart"/>
      <w:r w:rsidRPr="00A031C0">
        <w:rPr>
          <w:rFonts w:ascii="Verdana" w:hAnsi="Verdana"/>
          <w:sz w:val="20"/>
          <w:szCs w:val="20"/>
        </w:rPr>
        <w:t>law</w:t>
      </w:r>
      <w:proofErr w:type="spellEnd"/>
      <w:r w:rsidRPr="00A031C0">
        <w:rPr>
          <w:rFonts w:ascii="Verdana" w:hAnsi="Verdana"/>
          <w:sz w:val="20"/>
          <w:szCs w:val="20"/>
        </w:rPr>
        <w:t xml:space="preserve"> </w:t>
      </w:r>
      <w:proofErr w:type="spellStart"/>
      <w:r w:rsidRPr="00A031C0">
        <w:rPr>
          <w:rFonts w:ascii="Verdana" w:hAnsi="Verdana"/>
          <w:sz w:val="20"/>
          <w:szCs w:val="20"/>
        </w:rPr>
        <w:t>enforcement</w:t>
      </w:r>
      <w:proofErr w:type="spellEnd"/>
      <w:r w:rsidRPr="00A031C0">
        <w:rPr>
          <w:rFonts w:ascii="Verdana" w:hAnsi="Verdana"/>
          <w:sz w:val="20"/>
          <w:szCs w:val="20"/>
        </w:rPr>
        <w:t xml:space="preserve"> agencies of </w:t>
      </w:r>
      <w:proofErr w:type="spellStart"/>
      <w:r w:rsidRPr="00A031C0">
        <w:rPr>
          <w:rFonts w:ascii="Verdana" w:hAnsi="Verdana"/>
          <w:sz w:val="20"/>
          <w:szCs w:val="20"/>
        </w:rPr>
        <w:t>Pakistan</w:t>
      </w:r>
      <w:proofErr w:type="spellEnd"/>
      <w:r w:rsidRPr="00A031C0">
        <w:rPr>
          <w:rFonts w:ascii="Verdana" w:hAnsi="Verdana"/>
          <w:sz w:val="20"/>
          <w:szCs w:val="20"/>
        </w:rPr>
        <w:t xml:space="preserve">. </w:t>
      </w:r>
      <w:proofErr w:type="spellStart"/>
      <w:r w:rsidRPr="00A031C0">
        <w:rPr>
          <w:rFonts w:ascii="Verdana" w:hAnsi="Verdana"/>
          <w:i/>
          <w:iCs/>
          <w:sz w:val="20"/>
          <w:szCs w:val="20"/>
        </w:rPr>
        <w:t>Bulletin</w:t>
      </w:r>
      <w:proofErr w:type="spellEnd"/>
      <w:r w:rsidRPr="00A031C0">
        <w:rPr>
          <w:rFonts w:ascii="Verdana" w:hAnsi="Verdana"/>
          <w:i/>
          <w:iCs/>
          <w:sz w:val="20"/>
          <w:szCs w:val="20"/>
        </w:rPr>
        <w:t xml:space="preserve"> of Business and </w:t>
      </w:r>
      <w:proofErr w:type="spellStart"/>
      <w:r w:rsidRPr="00A031C0">
        <w:rPr>
          <w:rFonts w:ascii="Verdana" w:hAnsi="Verdana"/>
          <w:i/>
          <w:iCs/>
          <w:sz w:val="20"/>
          <w:szCs w:val="20"/>
        </w:rPr>
        <w:t>Economics</w:t>
      </w:r>
      <w:proofErr w:type="spellEnd"/>
      <w:r w:rsidRPr="00A031C0">
        <w:rPr>
          <w:rFonts w:ascii="Verdana" w:hAnsi="Verdana"/>
          <w:i/>
          <w:iCs/>
          <w:sz w:val="20"/>
          <w:szCs w:val="20"/>
        </w:rPr>
        <w:t xml:space="preserve"> (BBE)</w:t>
      </w:r>
      <w:r w:rsidRPr="00A031C0">
        <w:rPr>
          <w:rFonts w:ascii="Verdana" w:hAnsi="Verdana"/>
          <w:sz w:val="20"/>
          <w:szCs w:val="20"/>
        </w:rPr>
        <w:t xml:space="preserve">, </w:t>
      </w:r>
      <w:r w:rsidRPr="00A031C0">
        <w:rPr>
          <w:rFonts w:ascii="Verdana" w:hAnsi="Verdana"/>
          <w:i/>
          <w:iCs/>
          <w:sz w:val="20"/>
          <w:szCs w:val="20"/>
        </w:rPr>
        <w:t>13</w:t>
      </w:r>
      <w:r w:rsidRPr="00A031C0">
        <w:rPr>
          <w:rFonts w:ascii="Verdana" w:hAnsi="Verdana"/>
          <w:sz w:val="20"/>
          <w:szCs w:val="20"/>
        </w:rPr>
        <w:t xml:space="preserve">(2), 22-36. </w:t>
      </w:r>
      <w:hyperlink r:id="rId35" w:history="1">
        <w:r w:rsidRPr="00A031C0">
          <w:rPr>
            <w:rStyle w:val="Hipervnculo"/>
            <w:rFonts w:ascii="Verdana" w:hAnsi="Verdana"/>
            <w:sz w:val="20"/>
            <w:szCs w:val="20"/>
          </w:rPr>
          <w:t>https://bbejournal.com/BBE/article/view/793</w:t>
        </w:r>
      </w:hyperlink>
    </w:p>
    <w:p w14:paraId="727E195D" w14:textId="1B3BC08D" w:rsidR="00AC5BC9" w:rsidRDefault="00AC5BC9" w:rsidP="00A031C0">
      <w:pPr>
        <w:spacing w:before="120" w:after="120"/>
        <w:ind w:left="709" w:hanging="709"/>
        <w:jc w:val="both"/>
        <w:rPr>
          <w:rFonts w:ascii="Verdana" w:hAnsi="Verdana"/>
          <w:sz w:val="20"/>
          <w:szCs w:val="20"/>
        </w:rPr>
      </w:pPr>
      <w:proofErr w:type="spellStart"/>
      <w:r w:rsidRPr="00A031C0">
        <w:rPr>
          <w:rFonts w:ascii="Verdana" w:hAnsi="Verdana"/>
          <w:sz w:val="20"/>
          <w:szCs w:val="20"/>
        </w:rPr>
        <w:t>Shamugia</w:t>
      </w:r>
      <w:proofErr w:type="spellEnd"/>
      <w:r w:rsidRPr="00A031C0">
        <w:rPr>
          <w:rFonts w:ascii="Verdana" w:hAnsi="Verdana"/>
          <w:sz w:val="20"/>
          <w:szCs w:val="20"/>
        </w:rPr>
        <w:t xml:space="preserve">, E., &amp; Ketsbaia, T. (2024). </w:t>
      </w:r>
      <w:proofErr w:type="spellStart"/>
      <w:r w:rsidRPr="00A031C0">
        <w:rPr>
          <w:rFonts w:ascii="Verdana" w:hAnsi="Verdana"/>
          <w:sz w:val="20"/>
          <w:szCs w:val="20"/>
        </w:rPr>
        <w:t>Property</w:t>
      </w:r>
      <w:proofErr w:type="spellEnd"/>
      <w:r w:rsidRPr="00A031C0">
        <w:rPr>
          <w:rFonts w:ascii="Verdana" w:hAnsi="Verdana"/>
          <w:sz w:val="20"/>
          <w:szCs w:val="20"/>
        </w:rPr>
        <w:t xml:space="preserve"> </w:t>
      </w:r>
      <w:proofErr w:type="spellStart"/>
      <w:r w:rsidRPr="00A031C0">
        <w:rPr>
          <w:rFonts w:ascii="Verdana" w:hAnsi="Verdana"/>
          <w:sz w:val="20"/>
          <w:szCs w:val="20"/>
        </w:rPr>
        <w:t>crime</w:t>
      </w:r>
      <w:proofErr w:type="spellEnd"/>
      <w:r w:rsidRPr="00A031C0">
        <w:rPr>
          <w:rFonts w:ascii="Verdana" w:hAnsi="Verdana"/>
          <w:sz w:val="20"/>
          <w:szCs w:val="20"/>
        </w:rPr>
        <w:t xml:space="preserve"> in </w:t>
      </w:r>
      <w:proofErr w:type="spellStart"/>
      <w:r w:rsidRPr="00A031C0">
        <w:rPr>
          <w:rFonts w:ascii="Verdana" w:hAnsi="Verdana"/>
          <w:sz w:val="20"/>
          <w:szCs w:val="20"/>
        </w:rPr>
        <w:t>the</w:t>
      </w:r>
      <w:proofErr w:type="spellEnd"/>
      <w:r w:rsidRPr="00A031C0">
        <w:rPr>
          <w:rFonts w:ascii="Verdana" w:hAnsi="Verdana"/>
          <w:sz w:val="20"/>
          <w:szCs w:val="20"/>
        </w:rPr>
        <w:t xml:space="preserve"> South </w:t>
      </w:r>
      <w:proofErr w:type="spellStart"/>
      <w:r w:rsidRPr="00A031C0">
        <w:rPr>
          <w:rFonts w:ascii="Verdana" w:hAnsi="Verdana"/>
          <w:sz w:val="20"/>
          <w:szCs w:val="20"/>
        </w:rPr>
        <w:t>Caucasus</w:t>
      </w:r>
      <w:proofErr w:type="spellEnd"/>
      <w:r w:rsidRPr="00A031C0">
        <w:rPr>
          <w:rFonts w:ascii="Verdana" w:hAnsi="Verdana"/>
          <w:sz w:val="20"/>
          <w:szCs w:val="20"/>
        </w:rPr>
        <w:t xml:space="preserve">-Panel Data </w:t>
      </w:r>
      <w:proofErr w:type="spellStart"/>
      <w:r w:rsidRPr="00A031C0">
        <w:rPr>
          <w:rFonts w:ascii="Verdana" w:hAnsi="Verdana"/>
          <w:sz w:val="20"/>
          <w:szCs w:val="20"/>
        </w:rPr>
        <w:t>Analysis</w:t>
      </w:r>
      <w:proofErr w:type="spellEnd"/>
      <w:r w:rsidRPr="00A031C0">
        <w:rPr>
          <w:rFonts w:ascii="Verdana" w:hAnsi="Verdana"/>
          <w:sz w:val="20"/>
          <w:szCs w:val="20"/>
        </w:rPr>
        <w:t xml:space="preserve">. </w:t>
      </w:r>
      <w:proofErr w:type="spellStart"/>
      <w:r w:rsidRPr="00A031C0">
        <w:rPr>
          <w:rFonts w:ascii="Verdana" w:hAnsi="Verdana"/>
          <w:i/>
          <w:iCs/>
          <w:sz w:val="20"/>
          <w:szCs w:val="20"/>
        </w:rPr>
        <w:t>Caucasus</w:t>
      </w:r>
      <w:proofErr w:type="spellEnd"/>
      <w:r w:rsidRPr="00A031C0">
        <w:rPr>
          <w:rFonts w:ascii="Verdana" w:hAnsi="Verdana"/>
          <w:i/>
          <w:iCs/>
          <w:sz w:val="20"/>
          <w:szCs w:val="20"/>
        </w:rPr>
        <w:t xml:space="preserve"> </w:t>
      </w:r>
      <w:proofErr w:type="spellStart"/>
      <w:r w:rsidRPr="00A031C0">
        <w:rPr>
          <w:rFonts w:ascii="Verdana" w:hAnsi="Verdana"/>
          <w:i/>
          <w:iCs/>
          <w:sz w:val="20"/>
          <w:szCs w:val="20"/>
        </w:rPr>
        <w:t>Journal</w:t>
      </w:r>
      <w:proofErr w:type="spellEnd"/>
      <w:r w:rsidRPr="00A031C0">
        <w:rPr>
          <w:rFonts w:ascii="Verdana" w:hAnsi="Verdana"/>
          <w:i/>
          <w:iCs/>
          <w:sz w:val="20"/>
          <w:szCs w:val="20"/>
        </w:rPr>
        <w:t xml:space="preserve"> of Social </w:t>
      </w:r>
      <w:proofErr w:type="spellStart"/>
      <w:r w:rsidRPr="00A031C0">
        <w:rPr>
          <w:rFonts w:ascii="Verdana" w:hAnsi="Verdana"/>
          <w:i/>
          <w:iCs/>
          <w:sz w:val="20"/>
          <w:szCs w:val="20"/>
        </w:rPr>
        <w:t>Sciences</w:t>
      </w:r>
      <w:proofErr w:type="spellEnd"/>
      <w:r w:rsidRPr="00A031C0">
        <w:rPr>
          <w:rFonts w:ascii="Verdana" w:hAnsi="Verdana"/>
          <w:sz w:val="20"/>
          <w:szCs w:val="20"/>
        </w:rPr>
        <w:t xml:space="preserve">, </w:t>
      </w:r>
      <w:r w:rsidRPr="00A031C0">
        <w:rPr>
          <w:rFonts w:ascii="Verdana" w:hAnsi="Verdana"/>
          <w:i/>
          <w:iCs/>
          <w:sz w:val="20"/>
          <w:szCs w:val="20"/>
        </w:rPr>
        <w:t>17</w:t>
      </w:r>
      <w:r w:rsidRPr="00A031C0">
        <w:rPr>
          <w:rFonts w:ascii="Verdana" w:hAnsi="Verdana"/>
          <w:sz w:val="20"/>
          <w:szCs w:val="20"/>
        </w:rPr>
        <w:t xml:space="preserve">(1), 270-294. </w:t>
      </w:r>
      <w:hyperlink r:id="rId36" w:history="1">
        <w:r w:rsidRPr="00A031C0">
          <w:rPr>
            <w:rStyle w:val="Hipervnculo"/>
            <w:rFonts w:ascii="Verdana" w:hAnsi="Verdana"/>
            <w:sz w:val="20"/>
            <w:szCs w:val="20"/>
          </w:rPr>
          <w:t>https://doi.org/10.62343/cjss.2024.253</w:t>
        </w:r>
      </w:hyperlink>
    </w:p>
    <w:p w14:paraId="5BCF574B" w14:textId="3B0532E1" w:rsidR="00A031C0" w:rsidRPr="00A031C0" w:rsidRDefault="00FF6E8C" w:rsidP="00A031C0">
      <w:pPr>
        <w:spacing w:before="120" w:after="120"/>
        <w:ind w:left="709" w:hanging="709"/>
        <w:jc w:val="both"/>
        <w:rPr>
          <w:rFonts w:ascii="Verdana" w:hAnsi="Verdana"/>
          <w:sz w:val="20"/>
          <w:szCs w:val="20"/>
        </w:rPr>
      </w:pPr>
      <w:r w:rsidRPr="00FF6E8C">
        <w:rPr>
          <w:rFonts w:ascii="Verdana" w:hAnsi="Verdana"/>
          <w:sz w:val="20"/>
          <w:szCs w:val="20"/>
        </w:rPr>
        <w:t xml:space="preserve">Shaw, C. R., &amp; McKay, H. D. (1942). </w:t>
      </w:r>
      <w:proofErr w:type="spellStart"/>
      <w:r w:rsidRPr="00FF6E8C">
        <w:rPr>
          <w:rFonts w:ascii="Verdana" w:hAnsi="Verdana"/>
          <w:i/>
          <w:iCs/>
          <w:sz w:val="20"/>
          <w:szCs w:val="20"/>
        </w:rPr>
        <w:t>Juvenile</w:t>
      </w:r>
      <w:proofErr w:type="spellEnd"/>
      <w:r w:rsidRPr="00FF6E8C">
        <w:rPr>
          <w:rFonts w:ascii="Verdana" w:hAnsi="Verdana"/>
          <w:i/>
          <w:iCs/>
          <w:sz w:val="20"/>
          <w:szCs w:val="20"/>
        </w:rPr>
        <w:t xml:space="preserve"> </w:t>
      </w:r>
      <w:proofErr w:type="spellStart"/>
      <w:r w:rsidRPr="00FF6E8C">
        <w:rPr>
          <w:rFonts w:ascii="Verdana" w:hAnsi="Verdana"/>
          <w:i/>
          <w:iCs/>
          <w:sz w:val="20"/>
          <w:szCs w:val="20"/>
        </w:rPr>
        <w:t>delinquency</w:t>
      </w:r>
      <w:proofErr w:type="spellEnd"/>
      <w:r w:rsidRPr="00FF6E8C">
        <w:rPr>
          <w:rFonts w:ascii="Verdana" w:hAnsi="Verdana"/>
          <w:i/>
          <w:iCs/>
          <w:sz w:val="20"/>
          <w:szCs w:val="20"/>
        </w:rPr>
        <w:t xml:space="preserve"> and </w:t>
      </w:r>
      <w:proofErr w:type="spellStart"/>
      <w:r w:rsidRPr="00FF6E8C">
        <w:rPr>
          <w:rFonts w:ascii="Verdana" w:hAnsi="Verdana"/>
          <w:i/>
          <w:iCs/>
          <w:sz w:val="20"/>
          <w:szCs w:val="20"/>
        </w:rPr>
        <w:t>urban</w:t>
      </w:r>
      <w:proofErr w:type="spellEnd"/>
      <w:r w:rsidRPr="00FF6E8C">
        <w:rPr>
          <w:rFonts w:ascii="Verdana" w:hAnsi="Verdana"/>
          <w:i/>
          <w:iCs/>
          <w:sz w:val="20"/>
          <w:szCs w:val="20"/>
        </w:rPr>
        <w:t xml:space="preserve"> </w:t>
      </w:r>
      <w:proofErr w:type="spellStart"/>
      <w:r w:rsidRPr="00FF6E8C">
        <w:rPr>
          <w:rFonts w:ascii="Verdana" w:hAnsi="Verdana"/>
          <w:i/>
          <w:iCs/>
          <w:sz w:val="20"/>
          <w:szCs w:val="20"/>
        </w:rPr>
        <w:t>areas</w:t>
      </w:r>
      <w:proofErr w:type="spellEnd"/>
      <w:r w:rsidRPr="00FF6E8C">
        <w:rPr>
          <w:rFonts w:ascii="Verdana" w:hAnsi="Verdana"/>
          <w:i/>
          <w:iCs/>
          <w:sz w:val="20"/>
          <w:szCs w:val="20"/>
        </w:rPr>
        <w:t>.</w:t>
      </w:r>
      <w:r w:rsidRPr="00FF6E8C">
        <w:rPr>
          <w:rFonts w:ascii="Verdana" w:hAnsi="Verdana"/>
          <w:sz w:val="20"/>
          <w:szCs w:val="20"/>
        </w:rPr>
        <w:t xml:space="preserve"> </w:t>
      </w:r>
      <w:proofErr w:type="spellStart"/>
      <w:r w:rsidRPr="00FF6E8C">
        <w:rPr>
          <w:rFonts w:ascii="Verdana" w:hAnsi="Verdana"/>
          <w:sz w:val="20"/>
          <w:szCs w:val="20"/>
        </w:rPr>
        <w:t>University</w:t>
      </w:r>
      <w:proofErr w:type="spellEnd"/>
      <w:r w:rsidRPr="00FF6E8C">
        <w:rPr>
          <w:rFonts w:ascii="Verdana" w:hAnsi="Verdana"/>
          <w:sz w:val="20"/>
          <w:szCs w:val="20"/>
        </w:rPr>
        <w:t xml:space="preserve"> of Chicago </w:t>
      </w:r>
      <w:proofErr w:type="spellStart"/>
      <w:r w:rsidRPr="00FF6E8C">
        <w:rPr>
          <w:rFonts w:ascii="Verdana" w:hAnsi="Verdana"/>
          <w:sz w:val="20"/>
          <w:szCs w:val="20"/>
        </w:rPr>
        <w:t>Press</w:t>
      </w:r>
      <w:proofErr w:type="spellEnd"/>
      <w:r w:rsidRPr="00FF6E8C">
        <w:rPr>
          <w:rFonts w:ascii="Verdana" w:hAnsi="Verdana"/>
          <w:sz w:val="20"/>
          <w:szCs w:val="20"/>
        </w:rPr>
        <w:t>.</w:t>
      </w:r>
    </w:p>
    <w:p w14:paraId="4CCBBFE4" w14:textId="1B27A119" w:rsidR="00AC5BC9" w:rsidRPr="00A031C0" w:rsidRDefault="00AC5BC9" w:rsidP="00A031C0">
      <w:pPr>
        <w:spacing w:before="120" w:after="120"/>
        <w:ind w:left="709" w:hanging="709"/>
        <w:jc w:val="both"/>
        <w:rPr>
          <w:rFonts w:ascii="Verdana" w:hAnsi="Verdana"/>
          <w:sz w:val="20"/>
          <w:szCs w:val="20"/>
        </w:rPr>
      </w:pPr>
      <w:r w:rsidRPr="00A031C0">
        <w:rPr>
          <w:rFonts w:ascii="Verdana" w:hAnsi="Verdana"/>
          <w:sz w:val="20"/>
          <w:szCs w:val="20"/>
        </w:rPr>
        <w:t xml:space="preserve">Stickle, B., &amp; Felson, M. (2020). </w:t>
      </w:r>
      <w:proofErr w:type="spellStart"/>
      <w:r w:rsidRPr="00A031C0">
        <w:rPr>
          <w:rFonts w:ascii="Verdana" w:hAnsi="Verdana"/>
          <w:sz w:val="20"/>
          <w:szCs w:val="20"/>
        </w:rPr>
        <w:t>Crime</w:t>
      </w:r>
      <w:proofErr w:type="spellEnd"/>
      <w:r w:rsidRPr="00A031C0">
        <w:rPr>
          <w:rFonts w:ascii="Verdana" w:hAnsi="Verdana"/>
          <w:sz w:val="20"/>
          <w:szCs w:val="20"/>
        </w:rPr>
        <w:t xml:space="preserve"> </w:t>
      </w:r>
      <w:proofErr w:type="spellStart"/>
      <w:r w:rsidRPr="00A031C0">
        <w:rPr>
          <w:rFonts w:ascii="Verdana" w:hAnsi="Verdana"/>
          <w:sz w:val="20"/>
          <w:szCs w:val="20"/>
        </w:rPr>
        <w:t>rates</w:t>
      </w:r>
      <w:proofErr w:type="spellEnd"/>
      <w:r w:rsidRPr="00A031C0">
        <w:rPr>
          <w:rFonts w:ascii="Verdana" w:hAnsi="Verdana"/>
          <w:sz w:val="20"/>
          <w:szCs w:val="20"/>
        </w:rPr>
        <w:t xml:space="preserve"> in a </w:t>
      </w:r>
      <w:proofErr w:type="spellStart"/>
      <w:r w:rsidRPr="00A031C0">
        <w:rPr>
          <w:rFonts w:ascii="Verdana" w:hAnsi="Verdana"/>
          <w:sz w:val="20"/>
          <w:szCs w:val="20"/>
        </w:rPr>
        <w:t>pandemic</w:t>
      </w:r>
      <w:proofErr w:type="spellEnd"/>
      <w:r w:rsidRPr="00A031C0">
        <w:rPr>
          <w:rFonts w:ascii="Verdana" w:hAnsi="Verdana"/>
          <w:sz w:val="20"/>
          <w:szCs w:val="20"/>
        </w:rPr>
        <w:t xml:space="preserve">: </w:t>
      </w:r>
      <w:proofErr w:type="spellStart"/>
      <w:r w:rsidRPr="00A031C0">
        <w:rPr>
          <w:rFonts w:ascii="Verdana" w:hAnsi="Verdana"/>
          <w:sz w:val="20"/>
          <w:szCs w:val="20"/>
        </w:rPr>
        <w:t>The</w:t>
      </w:r>
      <w:proofErr w:type="spellEnd"/>
      <w:r w:rsidRPr="00A031C0">
        <w:rPr>
          <w:rFonts w:ascii="Verdana" w:hAnsi="Verdana"/>
          <w:sz w:val="20"/>
          <w:szCs w:val="20"/>
        </w:rPr>
        <w:t xml:space="preserve"> </w:t>
      </w:r>
      <w:proofErr w:type="spellStart"/>
      <w:r w:rsidRPr="00A031C0">
        <w:rPr>
          <w:rFonts w:ascii="Verdana" w:hAnsi="Verdana"/>
          <w:sz w:val="20"/>
          <w:szCs w:val="20"/>
        </w:rPr>
        <w:t>largest</w:t>
      </w:r>
      <w:proofErr w:type="spellEnd"/>
      <w:r w:rsidRPr="00A031C0">
        <w:rPr>
          <w:rFonts w:ascii="Verdana" w:hAnsi="Verdana"/>
          <w:sz w:val="20"/>
          <w:szCs w:val="20"/>
        </w:rPr>
        <w:t xml:space="preserve"> </w:t>
      </w:r>
      <w:proofErr w:type="spellStart"/>
      <w:r w:rsidRPr="00A031C0">
        <w:rPr>
          <w:rFonts w:ascii="Verdana" w:hAnsi="Verdana"/>
          <w:sz w:val="20"/>
          <w:szCs w:val="20"/>
        </w:rPr>
        <w:t>criminological</w:t>
      </w:r>
      <w:proofErr w:type="spellEnd"/>
      <w:r w:rsidRPr="00A031C0">
        <w:rPr>
          <w:rFonts w:ascii="Verdana" w:hAnsi="Verdana"/>
          <w:sz w:val="20"/>
          <w:szCs w:val="20"/>
        </w:rPr>
        <w:t xml:space="preserve"> </w:t>
      </w:r>
      <w:proofErr w:type="spellStart"/>
      <w:r w:rsidRPr="00A031C0">
        <w:rPr>
          <w:rFonts w:ascii="Verdana" w:hAnsi="Verdana"/>
          <w:sz w:val="20"/>
          <w:szCs w:val="20"/>
        </w:rPr>
        <w:t>experiment</w:t>
      </w:r>
      <w:proofErr w:type="spellEnd"/>
      <w:r w:rsidRPr="00A031C0">
        <w:rPr>
          <w:rFonts w:ascii="Verdana" w:hAnsi="Verdana"/>
          <w:sz w:val="20"/>
          <w:szCs w:val="20"/>
        </w:rPr>
        <w:t xml:space="preserve"> in </w:t>
      </w:r>
      <w:proofErr w:type="spellStart"/>
      <w:r w:rsidRPr="00A031C0">
        <w:rPr>
          <w:rFonts w:ascii="Verdana" w:hAnsi="Verdana"/>
          <w:sz w:val="20"/>
          <w:szCs w:val="20"/>
        </w:rPr>
        <w:t>history</w:t>
      </w:r>
      <w:proofErr w:type="spellEnd"/>
      <w:r w:rsidRPr="00A031C0">
        <w:rPr>
          <w:rFonts w:ascii="Verdana" w:hAnsi="Verdana"/>
          <w:sz w:val="20"/>
          <w:szCs w:val="20"/>
        </w:rPr>
        <w:t xml:space="preserve">. </w:t>
      </w:r>
      <w:r w:rsidRPr="00A031C0">
        <w:rPr>
          <w:rFonts w:ascii="Verdana" w:hAnsi="Verdana"/>
          <w:i/>
          <w:iCs/>
          <w:sz w:val="20"/>
          <w:szCs w:val="20"/>
        </w:rPr>
        <w:t xml:space="preserve">American </w:t>
      </w:r>
      <w:proofErr w:type="spellStart"/>
      <w:r w:rsidRPr="00A031C0">
        <w:rPr>
          <w:rFonts w:ascii="Verdana" w:hAnsi="Verdana"/>
          <w:i/>
          <w:iCs/>
          <w:sz w:val="20"/>
          <w:szCs w:val="20"/>
        </w:rPr>
        <w:t>Journal</w:t>
      </w:r>
      <w:proofErr w:type="spellEnd"/>
      <w:r w:rsidRPr="00A031C0">
        <w:rPr>
          <w:rFonts w:ascii="Verdana" w:hAnsi="Verdana"/>
          <w:i/>
          <w:iCs/>
          <w:sz w:val="20"/>
          <w:szCs w:val="20"/>
        </w:rPr>
        <w:t xml:space="preserve"> of Criminal </w:t>
      </w:r>
      <w:proofErr w:type="spellStart"/>
      <w:r w:rsidRPr="00A031C0">
        <w:rPr>
          <w:rFonts w:ascii="Verdana" w:hAnsi="Verdana"/>
          <w:i/>
          <w:iCs/>
          <w:sz w:val="20"/>
          <w:szCs w:val="20"/>
        </w:rPr>
        <w:t>Justice</w:t>
      </w:r>
      <w:proofErr w:type="spellEnd"/>
      <w:r w:rsidRPr="00A031C0">
        <w:rPr>
          <w:rFonts w:ascii="Verdana" w:hAnsi="Verdana"/>
          <w:sz w:val="20"/>
          <w:szCs w:val="20"/>
        </w:rPr>
        <w:t xml:space="preserve">, </w:t>
      </w:r>
      <w:r w:rsidRPr="00A031C0">
        <w:rPr>
          <w:rFonts w:ascii="Verdana" w:hAnsi="Verdana"/>
          <w:i/>
          <w:iCs/>
          <w:sz w:val="20"/>
          <w:szCs w:val="20"/>
        </w:rPr>
        <w:t>45</w:t>
      </w:r>
      <w:r w:rsidRPr="00A031C0">
        <w:rPr>
          <w:rFonts w:ascii="Verdana" w:hAnsi="Verdana"/>
          <w:sz w:val="20"/>
          <w:szCs w:val="20"/>
        </w:rPr>
        <w:t xml:space="preserve">(4), 525-536. </w:t>
      </w:r>
      <w:hyperlink r:id="rId37" w:history="1">
        <w:r w:rsidRPr="00A031C0">
          <w:rPr>
            <w:rStyle w:val="Hipervnculo"/>
            <w:rFonts w:ascii="Verdana" w:hAnsi="Verdana"/>
            <w:sz w:val="20"/>
            <w:szCs w:val="20"/>
          </w:rPr>
          <w:t>https://doi.org/10.1007/s12103-020-09546-0</w:t>
        </w:r>
      </w:hyperlink>
    </w:p>
    <w:p w14:paraId="6DAA84B3" w14:textId="04EB8DEF" w:rsidR="00AC5BC9" w:rsidRPr="00A031C0" w:rsidRDefault="00AC5BC9" w:rsidP="00A031C0">
      <w:pPr>
        <w:spacing w:before="120" w:after="120"/>
        <w:ind w:left="709" w:hanging="709"/>
        <w:jc w:val="both"/>
        <w:rPr>
          <w:rFonts w:ascii="Verdana" w:hAnsi="Verdana"/>
          <w:sz w:val="20"/>
          <w:szCs w:val="20"/>
        </w:rPr>
      </w:pPr>
      <w:r w:rsidRPr="00A031C0">
        <w:rPr>
          <w:rFonts w:ascii="Verdana" w:hAnsi="Verdana"/>
          <w:sz w:val="20"/>
          <w:szCs w:val="20"/>
        </w:rPr>
        <w:t xml:space="preserve">Ugarte, G., y Vergara, R. (2023) Inmigración y delincuencia: últimas cifras. </w:t>
      </w:r>
      <w:r w:rsidRPr="00A031C0">
        <w:rPr>
          <w:rFonts w:ascii="Verdana" w:hAnsi="Verdana"/>
          <w:i/>
          <w:iCs/>
          <w:sz w:val="20"/>
          <w:szCs w:val="20"/>
        </w:rPr>
        <w:t xml:space="preserve">Puntos de Referencia, 663. </w:t>
      </w:r>
      <w:hyperlink r:id="rId38" w:history="1">
        <w:r w:rsidRPr="00A031C0">
          <w:rPr>
            <w:rStyle w:val="Hipervnculo"/>
            <w:rFonts w:ascii="Verdana" w:hAnsi="Verdana"/>
            <w:sz w:val="20"/>
            <w:szCs w:val="20"/>
          </w:rPr>
          <w:t>https://www.cepchile.cl/investigacion/inmigracion-y-delincuencia-ultimas-cifras/</w:t>
        </w:r>
      </w:hyperlink>
    </w:p>
    <w:p w14:paraId="2380E57F" w14:textId="301DA40A" w:rsidR="00AC5BC9" w:rsidRPr="00A031C0" w:rsidRDefault="00AC5BC9" w:rsidP="00A031C0">
      <w:pPr>
        <w:spacing w:before="120" w:after="120"/>
        <w:ind w:left="709" w:hanging="709"/>
        <w:jc w:val="both"/>
        <w:rPr>
          <w:rFonts w:ascii="Verdana" w:hAnsi="Verdana"/>
          <w:i/>
          <w:iCs/>
          <w:sz w:val="20"/>
          <w:szCs w:val="20"/>
        </w:rPr>
      </w:pPr>
      <w:proofErr w:type="spellStart"/>
      <w:r w:rsidRPr="00A031C0">
        <w:rPr>
          <w:rFonts w:ascii="Verdana" w:hAnsi="Verdana"/>
          <w:sz w:val="20"/>
          <w:szCs w:val="20"/>
        </w:rPr>
        <w:t>Urquízar</w:t>
      </w:r>
      <w:proofErr w:type="spellEnd"/>
      <w:r w:rsidRPr="00A031C0">
        <w:rPr>
          <w:rFonts w:ascii="Verdana" w:hAnsi="Verdana"/>
          <w:sz w:val="20"/>
          <w:szCs w:val="20"/>
        </w:rPr>
        <w:t xml:space="preserve">, P., &amp; Abrigo, V. (2025). TRES AÑOS DE ESTADO DE EMERGENCIA EN LA MACROZONA SUR: EVALUACIÓN DEL IMPACTO EN LA VIOLENCIA, LAS ORGANIZACIONES RADICALIZADAS Y LA RESPUESTA DEL ESTADO CHILENO. </w:t>
      </w:r>
      <w:r w:rsidRPr="00A031C0">
        <w:rPr>
          <w:rFonts w:ascii="Verdana" w:hAnsi="Verdana"/>
          <w:i/>
          <w:iCs/>
          <w:sz w:val="20"/>
          <w:szCs w:val="20"/>
        </w:rPr>
        <w:t xml:space="preserve">Observatorio del Crimen Organizado y Terrorismo. </w:t>
      </w:r>
      <w:hyperlink r:id="rId39" w:history="1">
        <w:r w:rsidRPr="00A031C0">
          <w:rPr>
            <w:rStyle w:val="Hipervnculo"/>
            <w:rFonts w:ascii="Verdana" w:hAnsi="Verdana"/>
            <w:sz w:val="20"/>
            <w:szCs w:val="20"/>
          </w:rPr>
          <w:t>https://ipp.unab.cl/publicacion/tres-anos-de-estado-emergencia-en-la-macrozona-sur-2022-2025/</w:t>
        </w:r>
      </w:hyperlink>
    </w:p>
    <w:p w14:paraId="66865F23" w14:textId="28DC1FA3" w:rsidR="00AC5BC9" w:rsidRPr="00A031C0" w:rsidRDefault="004A0D2B" w:rsidP="00A031C0">
      <w:pPr>
        <w:spacing w:before="120" w:after="120"/>
        <w:ind w:left="709" w:hanging="709"/>
        <w:jc w:val="both"/>
        <w:rPr>
          <w:rFonts w:ascii="Verdana" w:hAnsi="Verdana"/>
          <w:sz w:val="20"/>
          <w:szCs w:val="20"/>
        </w:rPr>
      </w:pPr>
      <w:r w:rsidRPr="00A031C0">
        <w:rPr>
          <w:rFonts w:ascii="Verdana" w:hAnsi="Verdana"/>
          <w:sz w:val="20"/>
          <w:szCs w:val="20"/>
        </w:rPr>
        <w:t xml:space="preserve">Yin, S.J. (2017). </w:t>
      </w:r>
      <w:proofErr w:type="spellStart"/>
      <w:r w:rsidRPr="00A031C0">
        <w:rPr>
          <w:rFonts w:ascii="Verdana" w:hAnsi="Verdana"/>
          <w:sz w:val="20"/>
          <w:szCs w:val="20"/>
        </w:rPr>
        <w:t>Property</w:t>
      </w:r>
      <w:proofErr w:type="spellEnd"/>
      <w:r w:rsidRPr="00A031C0">
        <w:rPr>
          <w:rFonts w:ascii="Verdana" w:hAnsi="Verdana"/>
          <w:sz w:val="20"/>
          <w:szCs w:val="20"/>
        </w:rPr>
        <w:t xml:space="preserve"> </w:t>
      </w:r>
      <w:proofErr w:type="spellStart"/>
      <w:r w:rsidRPr="00A031C0">
        <w:rPr>
          <w:rFonts w:ascii="Verdana" w:hAnsi="Verdana"/>
          <w:sz w:val="20"/>
          <w:szCs w:val="20"/>
        </w:rPr>
        <w:t>Crime</w:t>
      </w:r>
      <w:proofErr w:type="spellEnd"/>
      <w:r w:rsidRPr="00A031C0">
        <w:rPr>
          <w:rFonts w:ascii="Verdana" w:hAnsi="Verdana"/>
          <w:sz w:val="20"/>
          <w:szCs w:val="20"/>
        </w:rPr>
        <w:t xml:space="preserve"> and </w:t>
      </w:r>
      <w:proofErr w:type="spellStart"/>
      <w:r w:rsidRPr="00A031C0">
        <w:rPr>
          <w:rFonts w:ascii="Verdana" w:hAnsi="Verdana"/>
          <w:sz w:val="20"/>
          <w:szCs w:val="20"/>
        </w:rPr>
        <w:t>Socioeconomic</w:t>
      </w:r>
      <w:proofErr w:type="spellEnd"/>
      <w:r w:rsidRPr="00A031C0">
        <w:rPr>
          <w:rFonts w:ascii="Verdana" w:hAnsi="Verdana"/>
          <w:sz w:val="20"/>
          <w:szCs w:val="20"/>
        </w:rPr>
        <w:t xml:space="preserve"> </w:t>
      </w:r>
      <w:proofErr w:type="spellStart"/>
      <w:r w:rsidRPr="00A031C0">
        <w:rPr>
          <w:rFonts w:ascii="Verdana" w:hAnsi="Verdana"/>
          <w:sz w:val="20"/>
          <w:szCs w:val="20"/>
        </w:rPr>
        <w:t>Factors</w:t>
      </w:r>
      <w:proofErr w:type="spellEnd"/>
      <w:r w:rsidRPr="00A031C0">
        <w:rPr>
          <w:rFonts w:ascii="Verdana" w:hAnsi="Verdana"/>
          <w:sz w:val="20"/>
          <w:szCs w:val="20"/>
        </w:rPr>
        <w:t xml:space="preserve">. </w:t>
      </w:r>
      <w:r w:rsidRPr="00A031C0">
        <w:rPr>
          <w:rFonts w:ascii="Verdana" w:hAnsi="Verdana"/>
          <w:i/>
          <w:iCs/>
          <w:sz w:val="20"/>
          <w:szCs w:val="20"/>
        </w:rPr>
        <w:t xml:space="preserve">Open </w:t>
      </w:r>
      <w:proofErr w:type="spellStart"/>
      <w:r w:rsidRPr="00A031C0">
        <w:rPr>
          <w:rFonts w:ascii="Verdana" w:hAnsi="Verdana"/>
          <w:i/>
          <w:iCs/>
          <w:sz w:val="20"/>
          <w:szCs w:val="20"/>
        </w:rPr>
        <w:t>Journal</w:t>
      </w:r>
      <w:proofErr w:type="spellEnd"/>
      <w:r w:rsidRPr="00A031C0">
        <w:rPr>
          <w:rFonts w:ascii="Verdana" w:hAnsi="Verdana"/>
          <w:i/>
          <w:iCs/>
          <w:sz w:val="20"/>
          <w:szCs w:val="20"/>
        </w:rPr>
        <w:t xml:space="preserve"> of Social </w:t>
      </w:r>
      <w:proofErr w:type="spellStart"/>
      <w:r w:rsidRPr="00A031C0">
        <w:rPr>
          <w:rFonts w:ascii="Verdana" w:hAnsi="Verdana"/>
          <w:i/>
          <w:iCs/>
          <w:sz w:val="20"/>
          <w:szCs w:val="20"/>
        </w:rPr>
        <w:t>Sciences</w:t>
      </w:r>
      <w:proofErr w:type="spellEnd"/>
      <w:r w:rsidRPr="00A031C0">
        <w:rPr>
          <w:rFonts w:ascii="Verdana" w:hAnsi="Verdana"/>
          <w:sz w:val="20"/>
          <w:szCs w:val="20"/>
        </w:rPr>
        <w:t xml:space="preserve"> , 5, 226-237. </w:t>
      </w:r>
      <w:hyperlink r:id="rId40" w:history="1">
        <w:r w:rsidRPr="00A031C0">
          <w:rPr>
            <w:rStyle w:val="Hipervnculo"/>
            <w:rFonts w:ascii="Verdana" w:hAnsi="Verdana"/>
            <w:sz w:val="20"/>
            <w:szCs w:val="20"/>
          </w:rPr>
          <w:t>https://doi.org/10.4236/jss.2017.59016</w:t>
        </w:r>
      </w:hyperlink>
    </w:p>
    <w:p w14:paraId="2C3F62F2" w14:textId="1E4428C5" w:rsidR="004A0D2B" w:rsidRPr="00A031C0" w:rsidRDefault="004A0D2B" w:rsidP="00A031C0">
      <w:pPr>
        <w:spacing w:before="120" w:after="120"/>
        <w:ind w:left="709" w:hanging="709"/>
        <w:jc w:val="both"/>
        <w:rPr>
          <w:rFonts w:ascii="Verdana" w:hAnsi="Verdana"/>
          <w:sz w:val="20"/>
          <w:szCs w:val="20"/>
        </w:rPr>
      </w:pPr>
      <w:r w:rsidRPr="00A031C0">
        <w:rPr>
          <w:rFonts w:ascii="Verdana" w:hAnsi="Verdana"/>
          <w:sz w:val="20"/>
          <w:szCs w:val="20"/>
        </w:rPr>
        <w:lastRenderedPageBreak/>
        <w:t xml:space="preserve">Zheng, Z., He, Y., </w:t>
      </w:r>
      <w:proofErr w:type="spellStart"/>
      <w:r w:rsidRPr="00A031C0">
        <w:rPr>
          <w:rFonts w:ascii="Verdana" w:hAnsi="Verdana"/>
          <w:sz w:val="20"/>
          <w:szCs w:val="20"/>
        </w:rPr>
        <w:t>Jiang</w:t>
      </w:r>
      <w:proofErr w:type="spellEnd"/>
      <w:r w:rsidRPr="00A031C0">
        <w:rPr>
          <w:rFonts w:ascii="Verdana" w:hAnsi="Verdana"/>
          <w:sz w:val="20"/>
          <w:szCs w:val="20"/>
        </w:rPr>
        <w:t xml:space="preserve">, X., Wu, H., &amp; Sheng, S. (2025). </w:t>
      </w:r>
      <w:proofErr w:type="spellStart"/>
      <w:r w:rsidRPr="00A031C0">
        <w:rPr>
          <w:rFonts w:ascii="Verdana" w:hAnsi="Verdana"/>
          <w:sz w:val="20"/>
          <w:szCs w:val="20"/>
        </w:rPr>
        <w:t>Study</w:t>
      </w:r>
      <w:proofErr w:type="spellEnd"/>
      <w:r w:rsidRPr="00A031C0">
        <w:rPr>
          <w:rFonts w:ascii="Verdana" w:hAnsi="Verdana"/>
          <w:sz w:val="20"/>
          <w:szCs w:val="20"/>
        </w:rPr>
        <w:t xml:space="preserve"> </w:t>
      </w:r>
      <w:proofErr w:type="spellStart"/>
      <w:r w:rsidRPr="00A031C0">
        <w:rPr>
          <w:rFonts w:ascii="Verdana" w:hAnsi="Verdana"/>
          <w:sz w:val="20"/>
          <w:szCs w:val="20"/>
        </w:rPr>
        <w:t>on</w:t>
      </w:r>
      <w:proofErr w:type="spellEnd"/>
      <w:r w:rsidRPr="00A031C0">
        <w:rPr>
          <w:rFonts w:ascii="Verdana" w:hAnsi="Verdana"/>
          <w:sz w:val="20"/>
          <w:szCs w:val="20"/>
        </w:rPr>
        <w:t xml:space="preserve"> </w:t>
      </w:r>
      <w:proofErr w:type="spellStart"/>
      <w:r w:rsidRPr="00A031C0">
        <w:rPr>
          <w:rFonts w:ascii="Verdana" w:hAnsi="Verdana"/>
          <w:sz w:val="20"/>
          <w:szCs w:val="20"/>
        </w:rPr>
        <w:t>the</w:t>
      </w:r>
      <w:proofErr w:type="spellEnd"/>
      <w:r w:rsidRPr="00A031C0">
        <w:rPr>
          <w:rFonts w:ascii="Verdana" w:hAnsi="Verdana"/>
          <w:sz w:val="20"/>
          <w:szCs w:val="20"/>
        </w:rPr>
        <w:t xml:space="preserve"> </w:t>
      </w:r>
      <w:proofErr w:type="spellStart"/>
      <w:r w:rsidRPr="00A031C0">
        <w:rPr>
          <w:rFonts w:ascii="Verdana" w:hAnsi="Verdana"/>
          <w:sz w:val="20"/>
          <w:szCs w:val="20"/>
        </w:rPr>
        <w:t>spatiotemporal</w:t>
      </w:r>
      <w:proofErr w:type="spellEnd"/>
      <w:r w:rsidRPr="00A031C0">
        <w:rPr>
          <w:rFonts w:ascii="Verdana" w:hAnsi="Verdana"/>
          <w:sz w:val="20"/>
          <w:szCs w:val="20"/>
        </w:rPr>
        <w:t xml:space="preserve"> </w:t>
      </w:r>
      <w:proofErr w:type="spellStart"/>
      <w:r w:rsidRPr="00A031C0">
        <w:rPr>
          <w:rFonts w:ascii="Verdana" w:hAnsi="Verdana"/>
          <w:sz w:val="20"/>
          <w:szCs w:val="20"/>
        </w:rPr>
        <w:t>evolution</w:t>
      </w:r>
      <w:proofErr w:type="spellEnd"/>
      <w:r w:rsidRPr="00A031C0">
        <w:rPr>
          <w:rFonts w:ascii="Verdana" w:hAnsi="Verdana"/>
          <w:sz w:val="20"/>
          <w:szCs w:val="20"/>
        </w:rPr>
        <w:t xml:space="preserve"> and </w:t>
      </w:r>
      <w:proofErr w:type="spellStart"/>
      <w:r w:rsidRPr="00A031C0">
        <w:rPr>
          <w:rFonts w:ascii="Verdana" w:hAnsi="Verdana"/>
          <w:sz w:val="20"/>
          <w:szCs w:val="20"/>
        </w:rPr>
        <w:t>influencing</w:t>
      </w:r>
      <w:proofErr w:type="spellEnd"/>
      <w:r w:rsidRPr="00A031C0">
        <w:rPr>
          <w:rFonts w:ascii="Verdana" w:hAnsi="Verdana"/>
          <w:sz w:val="20"/>
          <w:szCs w:val="20"/>
        </w:rPr>
        <w:t xml:space="preserve"> </w:t>
      </w:r>
      <w:proofErr w:type="spellStart"/>
      <w:r w:rsidRPr="00A031C0">
        <w:rPr>
          <w:rFonts w:ascii="Verdana" w:hAnsi="Verdana"/>
          <w:sz w:val="20"/>
          <w:szCs w:val="20"/>
        </w:rPr>
        <w:t>factors</w:t>
      </w:r>
      <w:proofErr w:type="spellEnd"/>
      <w:r w:rsidRPr="00A031C0">
        <w:rPr>
          <w:rFonts w:ascii="Verdana" w:hAnsi="Verdana"/>
          <w:sz w:val="20"/>
          <w:szCs w:val="20"/>
        </w:rPr>
        <w:t xml:space="preserve"> of </w:t>
      </w:r>
      <w:proofErr w:type="spellStart"/>
      <w:r w:rsidRPr="00A031C0">
        <w:rPr>
          <w:rFonts w:ascii="Verdana" w:hAnsi="Verdana"/>
          <w:sz w:val="20"/>
          <w:szCs w:val="20"/>
        </w:rPr>
        <w:t>theft</w:t>
      </w:r>
      <w:proofErr w:type="spellEnd"/>
      <w:r w:rsidRPr="00A031C0">
        <w:rPr>
          <w:rFonts w:ascii="Verdana" w:hAnsi="Verdana"/>
          <w:sz w:val="20"/>
          <w:szCs w:val="20"/>
        </w:rPr>
        <w:t xml:space="preserve"> </w:t>
      </w:r>
      <w:proofErr w:type="spellStart"/>
      <w:r w:rsidRPr="00A031C0">
        <w:rPr>
          <w:rFonts w:ascii="Verdana" w:hAnsi="Verdana"/>
          <w:sz w:val="20"/>
          <w:szCs w:val="20"/>
        </w:rPr>
        <w:t>crimes</w:t>
      </w:r>
      <w:proofErr w:type="spellEnd"/>
      <w:r w:rsidRPr="00A031C0">
        <w:rPr>
          <w:rFonts w:ascii="Verdana" w:hAnsi="Verdana"/>
          <w:sz w:val="20"/>
          <w:szCs w:val="20"/>
        </w:rPr>
        <w:t xml:space="preserve">: A </w:t>
      </w:r>
      <w:proofErr w:type="spellStart"/>
      <w:r w:rsidRPr="00A031C0">
        <w:rPr>
          <w:rFonts w:ascii="Verdana" w:hAnsi="Verdana"/>
          <w:sz w:val="20"/>
          <w:szCs w:val="20"/>
        </w:rPr>
        <w:t>comparative</w:t>
      </w:r>
      <w:proofErr w:type="spellEnd"/>
      <w:r w:rsidRPr="00A031C0">
        <w:rPr>
          <w:rFonts w:ascii="Verdana" w:hAnsi="Verdana"/>
          <w:sz w:val="20"/>
          <w:szCs w:val="20"/>
        </w:rPr>
        <w:t xml:space="preserve"> </w:t>
      </w:r>
      <w:proofErr w:type="spellStart"/>
      <w:r w:rsidRPr="00A031C0">
        <w:rPr>
          <w:rFonts w:ascii="Verdana" w:hAnsi="Verdana"/>
          <w:sz w:val="20"/>
          <w:szCs w:val="20"/>
        </w:rPr>
        <w:t>analysis</w:t>
      </w:r>
      <w:proofErr w:type="spellEnd"/>
      <w:r w:rsidRPr="00A031C0">
        <w:rPr>
          <w:rFonts w:ascii="Verdana" w:hAnsi="Verdana"/>
          <w:sz w:val="20"/>
          <w:szCs w:val="20"/>
        </w:rPr>
        <w:t xml:space="preserve"> </w:t>
      </w:r>
      <w:proofErr w:type="spellStart"/>
      <w:r w:rsidRPr="00A031C0">
        <w:rPr>
          <w:rFonts w:ascii="Verdana" w:hAnsi="Verdana"/>
          <w:sz w:val="20"/>
          <w:szCs w:val="20"/>
        </w:rPr>
        <w:t>before</w:t>
      </w:r>
      <w:proofErr w:type="spellEnd"/>
      <w:r w:rsidRPr="00A031C0">
        <w:rPr>
          <w:rFonts w:ascii="Verdana" w:hAnsi="Verdana"/>
          <w:sz w:val="20"/>
          <w:szCs w:val="20"/>
        </w:rPr>
        <w:t xml:space="preserve"> and </w:t>
      </w:r>
      <w:proofErr w:type="spellStart"/>
      <w:r w:rsidRPr="00A031C0">
        <w:rPr>
          <w:rFonts w:ascii="Verdana" w:hAnsi="Verdana"/>
          <w:sz w:val="20"/>
          <w:szCs w:val="20"/>
        </w:rPr>
        <w:t>during</w:t>
      </w:r>
      <w:proofErr w:type="spellEnd"/>
      <w:r w:rsidRPr="00A031C0">
        <w:rPr>
          <w:rFonts w:ascii="Verdana" w:hAnsi="Verdana"/>
          <w:sz w:val="20"/>
          <w:szCs w:val="20"/>
        </w:rPr>
        <w:t xml:space="preserve"> COVID-19. </w:t>
      </w:r>
      <w:r w:rsidRPr="00A031C0">
        <w:rPr>
          <w:rFonts w:ascii="Verdana" w:hAnsi="Verdana"/>
          <w:i/>
          <w:iCs/>
          <w:sz w:val="20"/>
          <w:szCs w:val="20"/>
        </w:rPr>
        <w:t xml:space="preserve">International </w:t>
      </w:r>
      <w:proofErr w:type="spellStart"/>
      <w:r w:rsidRPr="00A031C0">
        <w:rPr>
          <w:rFonts w:ascii="Verdana" w:hAnsi="Verdana"/>
          <w:i/>
          <w:iCs/>
          <w:sz w:val="20"/>
          <w:szCs w:val="20"/>
        </w:rPr>
        <w:t>Journal</w:t>
      </w:r>
      <w:proofErr w:type="spellEnd"/>
      <w:r w:rsidRPr="00A031C0">
        <w:rPr>
          <w:rFonts w:ascii="Verdana" w:hAnsi="Verdana"/>
          <w:i/>
          <w:iCs/>
          <w:sz w:val="20"/>
          <w:szCs w:val="20"/>
        </w:rPr>
        <w:t xml:space="preserve"> of </w:t>
      </w:r>
      <w:proofErr w:type="spellStart"/>
      <w:r w:rsidRPr="00A031C0">
        <w:rPr>
          <w:rFonts w:ascii="Verdana" w:hAnsi="Verdana"/>
          <w:i/>
          <w:iCs/>
          <w:sz w:val="20"/>
          <w:szCs w:val="20"/>
        </w:rPr>
        <w:t>Law</w:t>
      </w:r>
      <w:proofErr w:type="spellEnd"/>
      <w:r w:rsidRPr="00A031C0">
        <w:rPr>
          <w:rFonts w:ascii="Verdana" w:hAnsi="Verdana"/>
          <w:i/>
          <w:iCs/>
          <w:sz w:val="20"/>
          <w:szCs w:val="20"/>
        </w:rPr>
        <w:t xml:space="preserve">, </w:t>
      </w:r>
      <w:proofErr w:type="spellStart"/>
      <w:r w:rsidRPr="00A031C0">
        <w:rPr>
          <w:rFonts w:ascii="Verdana" w:hAnsi="Verdana"/>
          <w:i/>
          <w:iCs/>
          <w:sz w:val="20"/>
          <w:szCs w:val="20"/>
        </w:rPr>
        <w:t>Crime</w:t>
      </w:r>
      <w:proofErr w:type="spellEnd"/>
      <w:r w:rsidRPr="00A031C0">
        <w:rPr>
          <w:rFonts w:ascii="Verdana" w:hAnsi="Verdana"/>
          <w:i/>
          <w:iCs/>
          <w:sz w:val="20"/>
          <w:szCs w:val="20"/>
        </w:rPr>
        <w:t xml:space="preserve"> and Justice</w:t>
      </w:r>
      <w:r w:rsidRPr="00A031C0">
        <w:rPr>
          <w:rFonts w:ascii="Verdana" w:hAnsi="Verdana"/>
          <w:sz w:val="20"/>
          <w:szCs w:val="20"/>
        </w:rPr>
        <w:t xml:space="preserve">, </w:t>
      </w:r>
      <w:r w:rsidRPr="00A031C0">
        <w:rPr>
          <w:rFonts w:ascii="Verdana" w:hAnsi="Verdana"/>
          <w:i/>
          <w:iCs/>
          <w:sz w:val="20"/>
          <w:szCs w:val="20"/>
        </w:rPr>
        <w:t>80</w:t>
      </w:r>
      <w:r w:rsidRPr="00A031C0">
        <w:rPr>
          <w:rFonts w:ascii="Verdana" w:hAnsi="Verdana"/>
          <w:sz w:val="20"/>
          <w:szCs w:val="20"/>
        </w:rPr>
        <w:t xml:space="preserve">, 100719. </w:t>
      </w:r>
      <w:hyperlink r:id="rId41" w:history="1">
        <w:r w:rsidRPr="00A031C0">
          <w:rPr>
            <w:rStyle w:val="Hipervnculo"/>
            <w:rFonts w:ascii="Verdana" w:hAnsi="Verdana"/>
            <w:sz w:val="20"/>
            <w:szCs w:val="20"/>
          </w:rPr>
          <w:t>https://doi.org/10.1016/j.ijlcj.2024.100719</w:t>
        </w:r>
      </w:hyperlink>
    </w:p>
    <w:p w14:paraId="7F4CD438" w14:textId="77777777" w:rsidR="004A0D2B" w:rsidRPr="00AC5BC9" w:rsidRDefault="004A0D2B" w:rsidP="004A0D2B">
      <w:pPr>
        <w:spacing w:before="120" w:after="120"/>
        <w:jc w:val="both"/>
        <w:rPr>
          <w:rFonts w:ascii="Verdana" w:hAnsi="Verdana"/>
          <w:sz w:val="20"/>
          <w:szCs w:val="20"/>
        </w:rPr>
      </w:pPr>
    </w:p>
    <w:p w14:paraId="5C049FEC" w14:textId="77777777" w:rsidR="00AC5BC9" w:rsidRPr="00AC5BC9" w:rsidRDefault="00AC5BC9" w:rsidP="00AC5BC9">
      <w:pPr>
        <w:spacing w:before="120" w:after="120"/>
        <w:jc w:val="both"/>
        <w:rPr>
          <w:rFonts w:ascii="Verdana" w:hAnsi="Verdana"/>
          <w:sz w:val="20"/>
          <w:szCs w:val="20"/>
        </w:rPr>
      </w:pPr>
    </w:p>
    <w:p w14:paraId="5A1FB7AA" w14:textId="77777777" w:rsidR="00E51ABD" w:rsidRDefault="00E51ABD" w:rsidP="00E51ABD">
      <w:pPr>
        <w:spacing w:before="120" w:after="120"/>
        <w:jc w:val="both"/>
        <w:rPr>
          <w:rFonts w:ascii="Verdana" w:hAnsi="Verdana"/>
          <w:sz w:val="20"/>
          <w:szCs w:val="20"/>
        </w:rPr>
      </w:pPr>
    </w:p>
    <w:p w14:paraId="75B810CB" w14:textId="77777777" w:rsidR="00E51ABD" w:rsidRDefault="00E51ABD" w:rsidP="00E51ABD">
      <w:pPr>
        <w:spacing w:before="120" w:after="120"/>
        <w:jc w:val="both"/>
        <w:rPr>
          <w:rFonts w:ascii="Verdana" w:hAnsi="Verdana"/>
          <w:sz w:val="20"/>
          <w:szCs w:val="20"/>
        </w:rPr>
      </w:pPr>
    </w:p>
    <w:p w14:paraId="1EF31B06" w14:textId="77777777" w:rsidR="00E51ABD" w:rsidRPr="00E51ABD" w:rsidRDefault="00E51ABD" w:rsidP="00E51ABD">
      <w:pPr>
        <w:spacing w:before="120" w:after="120"/>
        <w:jc w:val="both"/>
        <w:rPr>
          <w:rFonts w:ascii="Verdana" w:hAnsi="Verdana"/>
          <w:sz w:val="20"/>
          <w:szCs w:val="20"/>
        </w:rPr>
      </w:pPr>
    </w:p>
    <w:p w14:paraId="058C9675" w14:textId="77777777" w:rsidR="00A47E28" w:rsidRDefault="00A47E28" w:rsidP="002D36C6">
      <w:pPr>
        <w:spacing w:before="120" w:after="120"/>
        <w:jc w:val="both"/>
        <w:rPr>
          <w:rFonts w:ascii="Verdana" w:hAnsi="Verdana"/>
          <w:sz w:val="20"/>
          <w:szCs w:val="20"/>
        </w:rPr>
      </w:pPr>
    </w:p>
    <w:p w14:paraId="4E988834" w14:textId="77777777" w:rsidR="00F7281D" w:rsidRDefault="00F7281D" w:rsidP="002D36C6">
      <w:pPr>
        <w:spacing w:before="120" w:after="120"/>
        <w:jc w:val="both"/>
        <w:rPr>
          <w:rFonts w:ascii="Verdana" w:hAnsi="Verdana"/>
          <w:sz w:val="20"/>
          <w:szCs w:val="20"/>
        </w:rPr>
      </w:pPr>
    </w:p>
    <w:p w14:paraId="1B8E8CFD" w14:textId="77777777" w:rsidR="00F7281D" w:rsidRPr="002D36C6" w:rsidRDefault="00F7281D" w:rsidP="002D36C6">
      <w:pPr>
        <w:spacing w:before="120" w:after="120"/>
        <w:jc w:val="both"/>
        <w:rPr>
          <w:rFonts w:ascii="Verdana" w:hAnsi="Verdana"/>
          <w:sz w:val="20"/>
          <w:szCs w:val="20"/>
          <w:lang w:val="es-MX"/>
        </w:rPr>
      </w:pPr>
    </w:p>
    <w:sectPr w:rsidR="00F7281D" w:rsidRPr="002D36C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A3172"/>
    <w:multiLevelType w:val="hybridMultilevel"/>
    <w:tmpl w:val="53E4E3E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C8D"/>
    <w:rsid w:val="0001352A"/>
    <w:rsid w:val="00080DD8"/>
    <w:rsid w:val="00221CE3"/>
    <w:rsid w:val="002D36C6"/>
    <w:rsid w:val="003371B7"/>
    <w:rsid w:val="003554C1"/>
    <w:rsid w:val="00360196"/>
    <w:rsid w:val="0043483B"/>
    <w:rsid w:val="004A0D2B"/>
    <w:rsid w:val="0071126F"/>
    <w:rsid w:val="00721C20"/>
    <w:rsid w:val="007436F4"/>
    <w:rsid w:val="007F410D"/>
    <w:rsid w:val="00882952"/>
    <w:rsid w:val="009115F9"/>
    <w:rsid w:val="009260F7"/>
    <w:rsid w:val="00A031C0"/>
    <w:rsid w:val="00A3093B"/>
    <w:rsid w:val="00A47E28"/>
    <w:rsid w:val="00AC5BC9"/>
    <w:rsid w:val="00B055EF"/>
    <w:rsid w:val="00B2743A"/>
    <w:rsid w:val="00C532CA"/>
    <w:rsid w:val="00D14388"/>
    <w:rsid w:val="00DE0C8D"/>
    <w:rsid w:val="00E51ABD"/>
    <w:rsid w:val="00EC2505"/>
    <w:rsid w:val="00ED5621"/>
    <w:rsid w:val="00F7281D"/>
    <w:rsid w:val="00FF6E8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6B775"/>
  <w15:chartTrackingRefBased/>
  <w15:docId w15:val="{D91601A8-92E8-4E52-9085-19EAC321A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DE0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E0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0C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0C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0C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0C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0C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0C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0C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0C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E0C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0C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0C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0C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0C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0C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0C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0C8D"/>
    <w:rPr>
      <w:rFonts w:eastAsiaTheme="majorEastAsia" w:cstheme="majorBidi"/>
      <w:color w:val="272727" w:themeColor="text1" w:themeTint="D8"/>
    </w:rPr>
  </w:style>
  <w:style w:type="paragraph" w:styleId="Ttulo">
    <w:name w:val="Title"/>
    <w:basedOn w:val="Normal"/>
    <w:next w:val="Normal"/>
    <w:link w:val="TtuloCar"/>
    <w:uiPriority w:val="10"/>
    <w:qFormat/>
    <w:rsid w:val="00DE0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0C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0C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0C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0C8D"/>
    <w:pPr>
      <w:spacing w:before="160"/>
      <w:jc w:val="center"/>
    </w:pPr>
    <w:rPr>
      <w:i/>
      <w:iCs/>
      <w:color w:val="404040" w:themeColor="text1" w:themeTint="BF"/>
    </w:rPr>
  </w:style>
  <w:style w:type="character" w:customStyle="1" w:styleId="CitaCar">
    <w:name w:val="Cita Car"/>
    <w:basedOn w:val="Fuentedeprrafopredeter"/>
    <w:link w:val="Cita"/>
    <w:uiPriority w:val="29"/>
    <w:rsid w:val="00DE0C8D"/>
    <w:rPr>
      <w:i/>
      <w:iCs/>
      <w:color w:val="404040" w:themeColor="text1" w:themeTint="BF"/>
    </w:rPr>
  </w:style>
  <w:style w:type="paragraph" w:styleId="Prrafodelista">
    <w:name w:val="List Paragraph"/>
    <w:basedOn w:val="Normal"/>
    <w:uiPriority w:val="34"/>
    <w:qFormat/>
    <w:rsid w:val="00DE0C8D"/>
    <w:pPr>
      <w:ind w:left="720"/>
      <w:contextualSpacing/>
    </w:pPr>
  </w:style>
  <w:style w:type="character" w:styleId="nfasisintenso">
    <w:name w:val="Intense Emphasis"/>
    <w:basedOn w:val="Fuentedeprrafopredeter"/>
    <w:uiPriority w:val="21"/>
    <w:qFormat/>
    <w:rsid w:val="00DE0C8D"/>
    <w:rPr>
      <w:i/>
      <w:iCs/>
      <w:color w:val="0F4761" w:themeColor="accent1" w:themeShade="BF"/>
    </w:rPr>
  </w:style>
  <w:style w:type="paragraph" w:styleId="Citadestacada">
    <w:name w:val="Intense Quote"/>
    <w:basedOn w:val="Normal"/>
    <w:next w:val="Normal"/>
    <w:link w:val="CitadestacadaCar"/>
    <w:uiPriority w:val="30"/>
    <w:qFormat/>
    <w:rsid w:val="00DE0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0C8D"/>
    <w:rPr>
      <w:i/>
      <w:iCs/>
      <w:color w:val="0F4761" w:themeColor="accent1" w:themeShade="BF"/>
    </w:rPr>
  </w:style>
  <w:style w:type="character" w:styleId="Referenciaintensa">
    <w:name w:val="Intense Reference"/>
    <w:basedOn w:val="Fuentedeprrafopredeter"/>
    <w:uiPriority w:val="32"/>
    <w:qFormat/>
    <w:rsid w:val="00DE0C8D"/>
    <w:rPr>
      <w:b/>
      <w:bCs/>
      <w:smallCaps/>
      <w:color w:val="0F4761" w:themeColor="accent1" w:themeShade="BF"/>
      <w:spacing w:val="5"/>
    </w:rPr>
  </w:style>
  <w:style w:type="character" w:styleId="Hipervnculo">
    <w:name w:val="Hyperlink"/>
    <w:basedOn w:val="Fuentedeprrafopredeter"/>
    <w:uiPriority w:val="99"/>
    <w:unhideWhenUsed/>
    <w:rsid w:val="00F7281D"/>
    <w:rPr>
      <w:color w:val="467886" w:themeColor="hyperlink"/>
      <w:u w:val="single"/>
    </w:rPr>
  </w:style>
  <w:style w:type="character" w:customStyle="1" w:styleId="UnresolvedMention">
    <w:name w:val="Unresolved Mention"/>
    <w:basedOn w:val="Fuentedeprrafopredeter"/>
    <w:uiPriority w:val="99"/>
    <w:semiHidden/>
    <w:unhideWhenUsed/>
    <w:rsid w:val="00F7281D"/>
    <w:rPr>
      <w:color w:val="605E5C"/>
      <w:shd w:val="clear" w:color="auto" w:fill="E1DFDD"/>
    </w:rPr>
  </w:style>
  <w:style w:type="character" w:styleId="Hipervnculovisitado">
    <w:name w:val="FollowedHyperlink"/>
    <w:basedOn w:val="Fuentedeprrafopredeter"/>
    <w:uiPriority w:val="99"/>
    <w:semiHidden/>
    <w:unhideWhenUsed/>
    <w:rsid w:val="00A47E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ecoj.12137" TargetMode="External"/><Relationship Id="rId18" Type="http://schemas.openxmlformats.org/officeDocument/2006/relationships/hyperlink" Target="https://doi.org/10.11565/oe.v1i184.535" TargetMode="External"/><Relationship Id="rId26" Type="http://schemas.openxmlformats.org/officeDocument/2006/relationships/hyperlink" Target="https://ijcjs.com/menu-script/index.php/ijcjs/article/view/372" TargetMode="External"/><Relationship Id="rId39" Type="http://schemas.openxmlformats.org/officeDocument/2006/relationships/hyperlink" Target="https://ipp.unab.cl/publicacion/tres-anos-de-estado-emergencia-en-la-macrozona-sur-2022-2025/" TargetMode="External"/><Relationship Id="rId21" Type="http://schemas.openxmlformats.org/officeDocument/2006/relationships/hyperlink" Target="https://www.cepchile.cl/investigacion/el-lado-oculto-del-delito-aproximaciones-al-subreporte-de-la-delincuencia-en-chile/" TargetMode="External"/><Relationship Id="rId34" Type="http://schemas.openxmlformats.org/officeDocument/2006/relationships/hyperlink" Target="https://doi.org/10.1186/s40163-024-00201-1" TargetMode="External"/><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dx.doi.org/10.4067/S0719-26812024000100128" TargetMode="External"/><Relationship Id="rId20" Type="http://schemas.openxmlformats.org/officeDocument/2006/relationships/hyperlink" Target="https://espaciopublico.cl/nuestro_trabajo/informe-de-seguridad-publica-tendencias-recientes-en-crimen/" TargetMode="External"/><Relationship Id="rId29" Type="http://schemas.openxmlformats.org/officeDocument/2006/relationships/hyperlink" Target="https://hdl.handle.net/11362/39941" TargetMode="External"/><Relationship Id="rId41" Type="http://schemas.openxmlformats.org/officeDocument/2006/relationships/hyperlink" Target="https://doi.org/10.1016/j.ijlcj.2024.10071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057/s41300-017-0020-9" TargetMode="External"/><Relationship Id="rId24" Type="http://schemas.openxmlformats.org/officeDocument/2006/relationships/hyperlink" Target="https://www.rduss.cl/index.php/ojs/article/view/48" TargetMode="External"/><Relationship Id="rId32" Type="http://schemas.openxmlformats.org/officeDocument/2006/relationships/hyperlink" Target="https://doi.org/10.1111/soc4.12974" TargetMode="External"/><Relationship Id="rId37" Type="http://schemas.openxmlformats.org/officeDocument/2006/relationships/hyperlink" Target="https://doi.org/10.1007/s12103-020-09546-0" TargetMode="External"/><Relationship Id="rId40" Type="http://schemas.openxmlformats.org/officeDocument/2006/relationships/hyperlink" Target="https://doi.org/10.4236/jss.2017.59016" TargetMode="External"/><Relationship Id="rId5" Type="http://schemas.openxmlformats.org/officeDocument/2006/relationships/styles" Target="styles.xml"/><Relationship Id="rId15" Type="http://schemas.openxmlformats.org/officeDocument/2006/relationships/hyperlink" Target="https://doi.org/10.1177/1088767921107023" TargetMode="External"/><Relationship Id="rId23" Type="http://schemas.openxmlformats.org/officeDocument/2006/relationships/hyperlink" Target="https://doi.org/10.1177/1057567718799829" TargetMode="External"/><Relationship Id="rId28" Type="http://schemas.openxmlformats.org/officeDocument/2006/relationships/hyperlink" Target="https://counciloncj.org/crime-trends-in-u-s-cities-year-end-2024-update/" TargetMode="External"/><Relationship Id="rId36" Type="http://schemas.openxmlformats.org/officeDocument/2006/relationships/hyperlink" Target="https://doi.org/10.62343/cjss.2024.253" TargetMode="External"/><Relationship Id="rId10" Type="http://schemas.openxmlformats.org/officeDocument/2006/relationships/hyperlink" Target="https://doi.org/10.1186/s40163-020-00117-6" TargetMode="External"/><Relationship Id="rId19" Type="http://schemas.openxmlformats.org/officeDocument/2006/relationships/hyperlink" Target="https://dx.doi.org/10.4067/s0718-33992025000200269" TargetMode="External"/><Relationship Id="rId31" Type="http://schemas.openxmlformats.org/officeDocument/2006/relationships/hyperlink" Target="https://doi.org/10.3389/frsc.2022.865255" TargetMode="External"/><Relationship Id="rId4" Type="http://schemas.openxmlformats.org/officeDocument/2006/relationships/numbering" Target="numbering.xml"/><Relationship Id="rId9" Type="http://schemas.openxmlformats.org/officeDocument/2006/relationships/hyperlink" Target="https://scholarworks.utrgv.edu/cj_fac/112/" TargetMode="External"/><Relationship Id="rId14" Type="http://schemas.openxmlformats.org/officeDocument/2006/relationships/hyperlink" Target="https://doi.org/10.1007/s12103-020-09551-3" TargetMode="External"/><Relationship Id="rId22" Type="http://schemas.openxmlformats.org/officeDocument/2006/relationships/hyperlink" Target="https://www.cepchile.cl/investigacion/la-distribucion-comunal-del-delito-en-chile/" TargetMode="External"/><Relationship Id="rId27" Type="http://schemas.openxmlformats.org/officeDocument/2006/relationships/hyperlink" Target="https://www.cepchile.cl/investigacion/voces-del-sur-lo-que-se-oculta-tras-la-causa-mapuche/" TargetMode="External"/><Relationship Id="rId30" Type="http://schemas.openxmlformats.org/officeDocument/2006/relationships/hyperlink" Target="https://doi.org/10.1080/2330443X.2022.2071369" TargetMode="External"/><Relationship Id="rId35" Type="http://schemas.openxmlformats.org/officeDocument/2006/relationships/hyperlink" Target="https://bbejournal.com/BBE/article/view/793" TargetMode="External"/><Relationship Id="rId43" Type="http://schemas.openxmlformats.org/officeDocument/2006/relationships/theme" Target="theme/theme1.xml"/><Relationship Id="rId8" Type="http://schemas.openxmlformats.org/officeDocument/2006/relationships/hyperlink" Target="https://doi.org/10.1016/j.apgeog.2013.06.007" TargetMode="External"/><Relationship Id="rId3" Type="http://schemas.openxmlformats.org/officeDocument/2006/relationships/customXml" Target="../customXml/item3.xml"/><Relationship Id="rId12" Type="http://schemas.openxmlformats.org/officeDocument/2006/relationships/hyperlink" Target="https://doi.org/10.1086/259394" TargetMode="External"/><Relationship Id="rId17" Type="http://schemas.openxmlformats.org/officeDocument/2006/relationships/hyperlink" Target="https://doi.org/10.2307/2094589" TargetMode="External"/><Relationship Id="rId25" Type="http://schemas.openxmlformats.org/officeDocument/2006/relationships/hyperlink" Target="https://doi.org/10.1080/00036846.2013.806782" TargetMode="External"/><Relationship Id="rId33" Type="http://schemas.openxmlformats.org/officeDocument/2006/relationships/hyperlink" Target="https://counciloncj.org/wp-content/uploads/2024/05/Year-End-Crime-Update_Designed.pdf" TargetMode="External"/><Relationship Id="rId38" Type="http://schemas.openxmlformats.org/officeDocument/2006/relationships/hyperlink" Target="https://www.cepchile.cl/investigacion/inmigracion-y-delincuencia-ultimas-cifra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C070223F3012F499A9766DF0FEB2664" ma:contentTypeVersion="15" ma:contentTypeDescription="Crear nuevo documento." ma:contentTypeScope="" ma:versionID="8ab0baf229bd6325b733437afacc9fa7">
  <xsd:schema xmlns:xsd="http://www.w3.org/2001/XMLSchema" xmlns:xs="http://www.w3.org/2001/XMLSchema" xmlns:p="http://schemas.microsoft.com/office/2006/metadata/properties" xmlns:ns3="dd967912-ef5b-44b7-bafd-d53242d857c5" xmlns:ns4="3ee7338c-1d90-4ff9-9f5f-664ff3316eb7" targetNamespace="http://schemas.microsoft.com/office/2006/metadata/properties" ma:root="true" ma:fieldsID="34cfe6150402898b05ebed7fa46b3e25" ns3:_="" ns4:_="">
    <xsd:import namespace="dd967912-ef5b-44b7-bafd-d53242d857c5"/>
    <xsd:import namespace="3ee7338c-1d90-4ff9-9f5f-664ff3316eb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ystemTags"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967912-ef5b-44b7-bafd-d53242d857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ee7338c-1d90-4ff9-9f5f-664ff3316eb7"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SharingHintHash" ma:index="18"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d967912-ef5b-44b7-bafd-d53242d857c5" xsi:nil="true"/>
  </documentManagement>
</p:properties>
</file>

<file path=customXml/itemProps1.xml><?xml version="1.0" encoding="utf-8"?>
<ds:datastoreItem xmlns:ds="http://schemas.openxmlformats.org/officeDocument/2006/customXml" ds:itemID="{17D50E01-B271-4D0B-8EE0-1E75249CD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967912-ef5b-44b7-bafd-d53242d857c5"/>
    <ds:schemaRef ds:uri="3ee7338c-1d90-4ff9-9f5f-664ff3316e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7BAA52-4335-4E50-A2EC-D545F8839553}">
  <ds:schemaRefs>
    <ds:schemaRef ds:uri="http://schemas.microsoft.com/sharepoint/v3/contenttype/forms"/>
  </ds:schemaRefs>
</ds:datastoreItem>
</file>

<file path=customXml/itemProps3.xml><?xml version="1.0" encoding="utf-8"?>
<ds:datastoreItem xmlns:ds="http://schemas.openxmlformats.org/officeDocument/2006/customXml" ds:itemID="{7FDE002A-F8C7-4061-90F5-DCFF2907EC39}">
  <ds:schemaRefs>
    <ds:schemaRef ds:uri="http://schemas.microsoft.com/office/infopath/2007/PartnerControls"/>
    <ds:schemaRef ds:uri="http://schemas.microsoft.com/office/2006/metadata/properties"/>
    <ds:schemaRef ds:uri="3ee7338c-1d90-4ff9-9f5f-664ff3316eb7"/>
    <ds:schemaRef ds:uri="http://schemas.microsoft.com/office/2006/documentManagement/types"/>
    <ds:schemaRef ds:uri="http://schemas.openxmlformats.org/package/2006/metadata/core-properties"/>
    <ds:schemaRef ds:uri="http://purl.org/dc/terms/"/>
    <ds:schemaRef ds:uri="http://purl.org/dc/elements/1.1/"/>
    <ds:schemaRef ds:uri="dd967912-ef5b-44b7-bafd-d53242d857c5"/>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4743</Words>
  <Characters>26087</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Cares Molina</dc:creator>
  <cp:keywords/>
  <dc:description/>
  <cp:lastModifiedBy>Ariel Salvador Valdebenito Medina</cp:lastModifiedBy>
  <cp:revision>2</cp:revision>
  <dcterms:created xsi:type="dcterms:W3CDTF">2026-03-17T12:09:00Z</dcterms:created>
  <dcterms:modified xsi:type="dcterms:W3CDTF">2026-03-17T12:09:00Z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0x0101001C070223F3012F499A9766DF0FEB2664</vt:lpwstr>
  </property>
</Properties>
</file>