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6A43" w14:textId="77777777" w:rsidR="00750546" w:rsidRPr="00E87ED7" w:rsidRDefault="00750546" w:rsidP="00750546">
      <w:pPr>
        <w:pStyle w:val="Ttulo1"/>
        <w:jc w:val="both"/>
        <w:rPr>
          <w:rFonts w:asciiTheme="minorHAnsi" w:hAnsiTheme="minorHAnsi"/>
          <w:sz w:val="22"/>
          <w:szCs w:val="22"/>
          <w:lang w:val="es-MX"/>
        </w:rPr>
      </w:pPr>
      <w:r w:rsidRPr="00E87ED7">
        <w:rPr>
          <w:rFonts w:asciiTheme="minorHAnsi" w:hAnsiTheme="minorHAnsi"/>
          <w:sz w:val="22"/>
          <w:szCs w:val="22"/>
          <w:lang w:val="es-MX"/>
        </w:rPr>
        <w:t>Revisión temática de literatura</w:t>
      </w:r>
    </w:p>
    <w:p w14:paraId="7B91952C" w14:textId="77777777" w:rsidR="00750546" w:rsidRPr="00750546" w:rsidRDefault="00750546" w:rsidP="00750546">
      <w:pPr>
        <w:keepNext/>
        <w:keepLines/>
        <w:spacing w:before="160" w:after="80"/>
        <w:jc w:val="both"/>
        <w:outlineLvl w:val="1"/>
        <w:rPr>
          <w:rFonts w:eastAsiaTheme="majorEastAsia" w:cstheme="majorBidi"/>
          <w:color w:val="0F4761" w:themeColor="accent1" w:themeShade="BF"/>
          <w:lang w:val="es-MX"/>
        </w:rPr>
      </w:pPr>
      <w:r w:rsidRPr="00750546">
        <w:rPr>
          <w:rFonts w:eastAsiaTheme="majorEastAsia" w:cstheme="majorBidi"/>
          <w:color w:val="0F4761" w:themeColor="accent1" w:themeShade="BF"/>
          <w:lang w:val="es-MX"/>
        </w:rPr>
        <w:t>Crimen y pandemia de COVID-19</w:t>
      </w:r>
    </w:p>
    <w:p w14:paraId="1B14C255" w14:textId="77777777" w:rsidR="00750546" w:rsidRPr="00750546" w:rsidRDefault="00750546" w:rsidP="00750546">
      <w:pPr>
        <w:spacing w:before="120" w:after="120"/>
        <w:jc w:val="both"/>
        <w:rPr>
          <w:lang w:val="es-MX"/>
        </w:rPr>
      </w:pPr>
      <w:r w:rsidRPr="00750546">
        <w:rPr>
          <w:b/>
          <w:bCs/>
          <w:lang w:val="es-MX"/>
        </w:rPr>
        <w:t>Ashby (2020)</w:t>
      </w:r>
      <w:r w:rsidRPr="00750546">
        <w:rPr>
          <w:lang w:val="es-MX"/>
        </w:rPr>
        <w:t xml:space="preserve"> proporciona evidencia inicial sobre cómo la pandemia de COVID-19 afectó las tasas de delincuencia en grandes ciudades de Estados Unidos durante sus primeros meses. El autor se apoya en el enfoque de actividades rutinarias (Cohen y Felson, 1979), que sostiene que un delito ocurre cuando un delincuente motivado, un objetivo adecuado y la ausencia de un controlador capaz (guardián, gestor del lugar, manejador del delincuente) convergen en tiempo y espacio. La pandemia y las consecuentes medidas de distanciamiento social y cambios en la movilidad poblacional alteraron masivamente las actividades rutinarias diarias (ej., órdenes de confinamiento, cierre de escuelas), modificando así la convergencia de estos tres elementos para diferentes tipos de delitos.</w:t>
      </w:r>
    </w:p>
    <w:p w14:paraId="066FE869" w14:textId="77777777" w:rsidR="00750546" w:rsidRPr="00750546" w:rsidRDefault="00750546" w:rsidP="00750546">
      <w:pPr>
        <w:spacing w:before="120" w:after="120"/>
        <w:jc w:val="both"/>
        <w:rPr>
          <w:lang w:val="es-MX"/>
        </w:rPr>
      </w:pPr>
      <w:r w:rsidRPr="00750546">
        <w:rPr>
          <w:lang w:val="es-MX"/>
        </w:rPr>
        <w:t xml:space="preserve">El diseño de esta investigación responde a un estudio empírico longitudinal de series de tiempo, utilizando un diseño de pronóstico con grupo de comparación sintético. Mediante modelado SARIMA (Media Móvil Integrada </w:t>
      </w:r>
      <w:proofErr w:type="spellStart"/>
      <w:r w:rsidRPr="00750546">
        <w:rPr>
          <w:lang w:val="es-MX"/>
        </w:rPr>
        <w:t>Autoregresiva</w:t>
      </w:r>
      <w:proofErr w:type="spellEnd"/>
      <w:r w:rsidRPr="00750546">
        <w:rPr>
          <w:lang w:val="es-MX"/>
        </w:rPr>
        <w:t xml:space="preserve"> Estacional), se pronosticó la frecuencia esperada de delitos en ausencia de pandemia y se comparó con la frecuencia real observada. Se utilizaron datos de delitos registrados por la policía y de acceso público de 16 grandes ciudades/condados urbanos de EE.UU. Los datos semanales van desde inicios de 2016 (o fecha de inicio disponible) hasta el 20 de enero de 2020.</w:t>
      </w:r>
    </w:p>
    <w:p w14:paraId="0E33BA19" w14:textId="77777777" w:rsidR="00750546" w:rsidRPr="00750546" w:rsidRDefault="00750546" w:rsidP="00750546">
      <w:pPr>
        <w:spacing w:before="120" w:after="120"/>
        <w:jc w:val="both"/>
        <w:rPr>
          <w:lang w:val="es-MX"/>
        </w:rPr>
      </w:pPr>
      <w:r w:rsidRPr="00750546">
        <w:rPr>
          <w:lang w:val="es-MX"/>
        </w:rPr>
        <w:t xml:space="preserve">Las variables de este estudio son: </w:t>
      </w:r>
    </w:p>
    <w:p w14:paraId="7176FC2A" w14:textId="77777777" w:rsidR="00750546" w:rsidRPr="00750546" w:rsidRDefault="00750546" w:rsidP="00750546">
      <w:pPr>
        <w:numPr>
          <w:ilvl w:val="0"/>
          <w:numId w:val="1"/>
        </w:numPr>
        <w:spacing w:before="120" w:after="120"/>
        <w:contextualSpacing/>
        <w:jc w:val="both"/>
        <w:rPr>
          <w:lang w:val="es-MX"/>
        </w:rPr>
      </w:pPr>
      <w:r w:rsidRPr="00750546">
        <w:rPr>
          <w:lang w:val="es-MX"/>
        </w:rPr>
        <w:t xml:space="preserve">Independientes: El paso del tiempo (incluidas tendencias y estacionalidad semanal) y la ocurrencia de la pandemia (implícita en la comparación </w:t>
      </w:r>
      <w:proofErr w:type="spellStart"/>
      <w:r w:rsidRPr="00750546">
        <w:rPr>
          <w:lang w:val="es-MX"/>
        </w:rPr>
        <w:t>post-pronóstico</w:t>
      </w:r>
      <w:proofErr w:type="spellEnd"/>
      <w:r w:rsidRPr="00750546">
        <w:rPr>
          <w:lang w:val="es-MX"/>
        </w:rPr>
        <w:t>).</w:t>
      </w:r>
    </w:p>
    <w:p w14:paraId="7CB4C21A" w14:textId="77777777" w:rsidR="00750546" w:rsidRPr="00750546" w:rsidRDefault="00750546" w:rsidP="00750546">
      <w:pPr>
        <w:numPr>
          <w:ilvl w:val="0"/>
          <w:numId w:val="1"/>
        </w:numPr>
        <w:spacing w:before="120" w:after="120"/>
        <w:contextualSpacing/>
        <w:jc w:val="both"/>
        <w:rPr>
          <w:lang w:val="es-MX"/>
        </w:rPr>
      </w:pPr>
      <w:r w:rsidRPr="00750546">
        <w:rPr>
          <w:lang w:val="es-MX"/>
        </w:rPr>
        <w:t>Dependientes: El número semanal de delitos, por ciudad, para seis categorías: agresiones graves en lugares públicos, agresiones graves en residencias, robos en residencias, robos en no-residencias, robo de vehículos y robo desde vehículos.</w:t>
      </w:r>
    </w:p>
    <w:p w14:paraId="3D87608C" w14:textId="77777777" w:rsidR="00750546" w:rsidRPr="00750546" w:rsidRDefault="00750546" w:rsidP="00750546">
      <w:pPr>
        <w:numPr>
          <w:ilvl w:val="0"/>
          <w:numId w:val="1"/>
        </w:numPr>
        <w:spacing w:before="120" w:after="120"/>
        <w:contextualSpacing/>
        <w:jc w:val="both"/>
        <w:rPr>
          <w:lang w:val="es-MX"/>
        </w:rPr>
      </w:pPr>
      <w:r w:rsidRPr="00750546">
        <w:rPr>
          <w:lang w:val="es-MX"/>
        </w:rPr>
        <w:t xml:space="preserve">De control: Se incluyó una variable </w:t>
      </w:r>
      <w:proofErr w:type="spellStart"/>
      <w:r w:rsidRPr="00750546">
        <w:rPr>
          <w:i/>
          <w:iCs/>
          <w:lang w:val="es-MX"/>
        </w:rPr>
        <w:t>dummy</w:t>
      </w:r>
      <w:proofErr w:type="spellEnd"/>
      <w:r w:rsidRPr="00750546">
        <w:rPr>
          <w:lang w:val="es-MX"/>
        </w:rPr>
        <w:t xml:space="preserve"> para semanas con feriados federales estadounidenses en los modelos SARIMA.</w:t>
      </w:r>
    </w:p>
    <w:p w14:paraId="0D8FB381" w14:textId="77777777" w:rsidR="00750546" w:rsidRPr="00750546" w:rsidRDefault="00750546" w:rsidP="00750546">
      <w:pPr>
        <w:spacing w:before="120" w:after="120"/>
        <w:jc w:val="both"/>
        <w:rPr>
          <w:lang w:val="es-MX"/>
        </w:rPr>
      </w:pPr>
      <w:r w:rsidRPr="00750546">
        <w:rPr>
          <w:lang w:val="es-MX"/>
        </w:rPr>
        <w:t>Los principales hallazgos de esta investigación señalan que no se hallaron cambios significativos sistemáticos en la frecuencia de agresiones graves, ni en lugares públicos ni en residencias. Esto último contradice las preocupaciones iniciales de un aumento en la violencia doméstica debido a las órdenes de confinamiento. Los robos residenciales disminuyeron significativamente en algunas ciudades (Chicago, Los Ángeles, Memphis), lo que se atribuye a que las personas pasaron más tiempo en casa, actuando como guardianes de sus propiedades. Los robos en lugares no residenciales no mostraron un patrón consistente: Hubo un aumento en la mayoría de las ciudades, aunque solo en Minneapolis este aumento fue significativo. Esto podría estar relacionado con la menor vigilancia en negocios cerrados. Los patrones de robo de vehículos fueron divergentes: en algunas ciudades, como Austin y Los Ángeles, aumentaron significativamente, mientras que en otras, como Chicago y Tucson, disminuyeron. Por último, los robos desde vehículos disminuyeron significativamente en varias ciudades, siendo particularmente notable en San Francisco y Los Ángeles.</w:t>
      </w:r>
    </w:p>
    <w:p w14:paraId="5CE60AC4" w14:textId="77777777" w:rsidR="00750546" w:rsidRPr="00750546" w:rsidRDefault="00750546" w:rsidP="00750546">
      <w:pPr>
        <w:spacing w:before="120" w:after="120"/>
        <w:jc w:val="both"/>
        <w:rPr>
          <w:lang w:val="es-MX"/>
        </w:rPr>
      </w:pPr>
      <w:r w:rsidRPr="00750546">
        <w:rPr>
          <w:lang w:val="es-MX"/>
        </w:rPr>
        <w:lastRenderedPageBreak/>
        <w:t>De esta manera, se proporciona evidencia inicial para probar las predicciones del Enfoque de Actividades Rutinarias en el contexto de un cambio social masivo y repentino. Los resultados mixtos resaltan la complejidad de las interacciones entre los elementos del triángulo del delito durante la pandemia. Dado que no hubo un patrón uniforme en los cambios de delitos entre las ciudades estudiadas, esto sugiere que los contextos locales influyen significativamente en las tendencias delictivas. Se recomienda que futuras investigaciones analicen los tipos de delitos de manera desagregada y en múltiples contextos, incluyendo áreas rurales y suburbanas, así como en diferentes países.</w:t>
      </w:r>
    </w:p>
    <w:p w14:paraId="0037F62C" w14:textId="77777777" w:rsidR="00750546" w:rsidRPr="00750546" w:rsidRDefault="00750546" w:rsidP="00750546">
      <w:pPr>
        <w:spacing w:before="120" w:after="120"/>
        <w:jc w:val="both"/>
        <w:rPr>
          <w:lang w:val="es-MX"/>
        </w:rPr>
      </w:pPr>
      <w:r w:rsidRPr="00750546">
        <w:rPr>
          <w:b/>
          <w:bCs/>
          <w:lang w:val="es-MX"/>
        </w:rPr>
        <w:t xml:space="preserve">Boman y </w:t>
      </w:r>
      <w:proofErr w:type="spellStart"/>
      <w:r w:rsidRPr="00750546">
        <w:rPr>
          <w:b/>
          <w:bCs/>
          <w:lang w:val="es-MX"/>
        </w:rPr>
        <w:t>Gallupe</w:t>
      </w:r>
      <w:proofErr w:type="spellEnd"/>
      <w:r w:rsidRPr="00750546">
        <w:rPr>
          <w:b/>
          <w:bCs/>
          <w:lang w:val="es-MX"/>
        </w:rPr>
        <w:t xml:space="preserve"> (2020) </w:t>
      </w:r>
      <w:r w:rsidRPr="00750546">
        <w:rPr>
          <w:lang w:val="es-MX"/>
        </w:rPr>
        <w:t>investigan el impacto de las órdenes de confinamiento por COVID-19 en las tasas de criminalidad en EE.UU. El estudio se apoya en la distinción teórica de Warr (2002) entre crímenes "grupales”, en su mayoría delitos menores cometidos en grupos de pares para aliviar el aburrimiento o ganar estatus social (vandalismo, consumo de sustancias); y "no grupales”, ofensas más graves cometidas típicamente por individuos que actúan solos (homicidio, violencia íntima entre parejas, robo grave).</w:t>
      </w:r>
    </w:p>
    <w:p w14:paraId="7DEB97D9" w14:textId="77777777" w:rsidR="00750546" w:rsidRPr="00750546" w:rsidRDefault="00750546" w:rsidP="00750546">
      <w:pPr>
        <w:spacing w:before="120" w:after="120"/>
        <w:jc w:val="both"/>
        <w:rPr>
          <w:lang w:val="es-MX"/>
        </w:rPr>
      </w:pPr>
      <w:r w:rsidRPr="00750546">
        <w:rPr>
          <w:lang w:val="es-MX"/>
        </w:rPr>
        <w:t>Los autores argumentan que los confinamientos por COVID-19, al alterar la dinámica de los grupos de pares (cierre de escuelas, distanciamiento social), eliminan el contexto principal donde ocurren los delitos grupales, lo que explica la caída general del crimen. Por el contrario, los delitos no grupales, que ocurren en el ámbito privado, no se ven inhibidos por la falta de contacto con pares; de hecho, el confinamiento puede aumentar la oportunidad y la tensión para delitos como la violencia íntima entre parejas.</w:t>
      </w:r>
    </w:p>
    <w:p w14:paraId="522D63EE" w14:textId="77777777" w:rsidR="00750546" w:rsidRPr="00750546" w:rsidRDefault="00750546" w:rsidP="00750546">
      <w:pPr>
        <w:spacing w:before="120" w:after="120"/>
        <w:jc w:val="both"/>
        <w:rPr>
          <w:lang w:val="es-MX"/>
        </w:rPr>
      </w:pPr>
      <w:r w:rsidRPr="00750546">
        <w:rPr>
          <w:lang w:val="es-MX"/>
        </w:rPr>
        <w:t>Este trabajo corresponde a un estudio exploratorio y descriptivo que analiza tendencias de criminalidad antes y durante la pandemia, utilizando múltiples fuentes de datos. Se emprende un análisis de datos secundarios de llamadas al servicio policial (911), revisión de reportes de medios de comunicación y datos oficiales de ciudades, y una entrevista cualitativa semiestructurada con un jefe de policía.</w:t>
      </w:r>
    </w:p>
    <w:p w14:paraId="325F92AE" w14:textId="77777777" w:rsidR="00750546" w:rsidRPr="00750546" w:rsidRDefault="00750546" w:rsidP="00750546">
      <w:pPr>
        <w:spacing w:before="120" w:after="120"/>
        <w:jc w:val="both"/>
        <w:rPr>
          <w:lang w:val="es-MX"/>
        </w:rPr>
      </w:pPr>
      <w:r w:rsidRPr="00750546">
        <w:rPr>
          <w:lang w:val="es-MX"/>
        </w:rPr>
        <w:t>Las principales variables son:</w:t>
      </w:r>
    </w:p>
    <w:p w14:paraId="178AE24C" w14:textId="77777777" w:rsidR="00750546" w:rsidRPr="00750546" w:rsidRDefault="00750546" w:rsidP="00750546">
      <w:pPr>
        <w:numPr>
          <w:ilvl w:val="0"/>
          <w:numId w:val="2"/>
        </w:numPr>
        <w:spacing w:before="120" w:after="120"/>
        <w:contextualSpacing/>
        <w:jc w:val="both"/>
        <w:rPr>
          <w:lang w:val="es-MX"/>
        </w:rPr>
      </w:pPr>
      <w:r w:rsidRPr="00750546">
        <w:rPr>
          <w:lang w:val="es-MX"/>
        </w:rPr>
        <w:t>Independientes: Implementación de órdenes de confinamiento por COVID-19.</w:t>
      </w:r>
    </w:p>
    <w:p w14:paraId="46184338" w14:textId="77777777" w:rsidR="00750546" w:rsidRPr="00750546" w:rsidRDefault="00750546" w:rsidP="00750546">
      <w:pPr>
        <w:numPr>
          <w:ilvl w:val="0"/>
          <w:numId w:val="2"/>
        </w:numPr>
        <w:spacing w:before="120" w:after="120"/>
        <w:contextualSpacing/>
        <w:jc w:val="both"/>
        <w:rPr>
          <w:lang w:val="es-MX"/>
        </w:rPr>
      </w:pPr>
      <w:r w:rsidRPr="00750546">
        <w:rPr>
          <w:lang w:val="es-MX"/>
        </w:rPr>
        <w:t>Dependientes: Tasas de criminalidad general; tasas de delitos "grupales" (menores); tasas de delitos "no grupales" (homicidio, violencia íntima entre parejas).</w:t>
      </w:r>
    </w:p>
    <w:p w14:paraId="2BD78B5E" w14:textId="77777777" w:rsidR="00750546" w:rsidRPr="00750546" w:rsidRDefault="00750546" w:rsidP="00750546">
      <w:pPr>
        <w:spacing w:before="120" w:after="120"/>
        <w:jc w:val="both"/>
        <w:rPr>
          <w:lang w:val="es-MX"/>
        </w:rPr>
      </w:pPr>
      <w:r w:rsidRPr="00750546">
        <w:rPr>
          <w:lang w:val="es-MX"/>
        </w:rPr>
        <w:t xml:space="preserve">Los hallazgos de este estudio indican que: las llamadas al servicio policial (911) disminuyeron notablemente a nivel nacional. Esta reducción se atribuye principalmente a una caída en delitos menores cometidos en grupos, debido a que el confinamiento eliminó el contexto de interacción entre pares. Los delitos graves no grupales mostraron un patrón diferente: el homicidio se mantuvo estable o aumentó, mientras que la violencia de pareja aumentó debido a la proximidad forzada entre víctimas y agresores y la limitación de opciones de escape. Con ello, se señala que los confinamientos eliminaron contextos clave para la delincuencia grupal (ej., pico delictivo </w:t>
      </w:r>
      <w:proofErr w:type="spellStart"/>
      <w:proofErr w:type="gramStart"/>
      <w:r w:rsidRPr="00750546">
        <w:rPr>
          <w:lang w:val="es-MX"/>
        </w:rPr>
        <w:t>post-escolar</w:t>
      </w:r>
      <w:proofErr w:type="spellEnd"/>
      <w:proofErr w:type="gramEnd"/>
      <w:r w:rsidRPr="00750546">
        <w:rPr>
          <w:lang w:val="es-MX"/>
        </w:rPr>
        <w:t>) pero pueden haber creado oportunidades y tensión para la violencia doméstica. Se concluye que la caída del crimen es engañosa, ya que enmascara un aumento en delitos de alto costo social y personal.</w:t>
      </w:r>
    </w:p>
    <w:p w14:paraId="070A6EB1" w14:textId="77777777" w:rsidR="00750546" w:rsidRPr="00750546" w:rsidRDefault="00750546" w:rsidP="00750546">
      <w:pPr>
        <w:spacing w:before="120" w:after="120"/>
        <w:jc w:val="both"/>
        <w:rPr>
          <w:lang w:val="es-MX"/>
        </w:rPr>
      </w:pPr>
      <w:r w:rsidRPr="00750546">
        <w:rPr>
          <w:b/>
          <w:bCs/>
          <w:lang w:val="es-MX"/>
        </w:rPr>
        <w:t>Meyer et al. (2023)</w:t>
      </w:r>
      <w:r w:rsidRPr="00750546">
        <w:rPr>
          <w:lang w:val="es-MX"/>
        </w:rPr>
        <w:t xml:space="preserve"> estima los cambios en las tasas de cinco delitos del FBI Parte 1 durante el confinamiento por la pandemia de COVID-19 en la primavera de 2020 y el período posterior a la muerte de George Floyd hasta diciembre de 2020, utilizando datos semanales de 28 de las </w:t>
      </w:r>
      <w:r w:rsidRPr="00750546">
        <w:rPr>
          <w:lang w:val="es-MX"/>
        </w:rPr>
        <w:lastRenderedPageBreak/>
        <w:t>70 ciudades más grandes de EE. UU. Los delitos analizados corresponden a homicidio, robo de auto, allanamiento de morada, robo y hurto. Se define un "índice de apertura" (</w:t>
      </w:r>
      <w:proofErr w:type="spellStart"/>
      <w:r w:rsidRPr="00750546">
        <w:rPr>
          <w:lang w:val="es-MX"/>
        </w:rPr>
        <w:t>openness</w:t>
      </w:r>
      <w:proofErr w:type="spellEnd"/>
      <w:r w:rsidRPr="00750546">
        <w:rPr>
          <w:lang w:val="es-MX"/>
        </w:rPr>
        <w:t xml:space="preserve"> </w:t>
      </w:r>
      <w:proofErr w:type="spellStart"/>
      <w:r w:rsidRPr="00750546">
        <w:rPr>
          <w:lang w:val="es-MX"/>
        </w:rPr>
        <w:t>index</w:t>
      </w:r>
      <w:proofErr w:type="spellEnd"/>
      <w:r w:rsidRPr="00750546">
        <w:rPr>
          <w:lang w:val="es-MX"/>
        </w:rPr>
        <w:t>) de 0 a 14 para medir el grado de restricciones por confinamiento en una ciudad cada semana. Se articula el argumento de que los cambios en las tasas de estos delitos pueden asociarse diferencialmente con las fases de la pandemia y el grado de apertura.</w:t>
      </w:r>
    </w:p>
    <w:p w14:paraId="3645321A" w14:textId="77777777" w:rsidR="00750546" w:rsidRPr="00750546" w:rsidRDefault="00750546" w:rsidP="00750546">
      <w:pPr>
        <w:spacing w:before="120" w:after="120"/>
        <w:jc w:val="both"/>
        <w:rPr>
          <w:lang w:val="es-MX"/>
        </w:rPr>
      </w:pPr>
      <w:r w:rsidRPr="00750546">
        <w:rPr>
          <w:lang w:val="es-MX"/>
        </w:rPr>
        <w:t xml:space="preserve">La investigación posee un diseño </w:t>
      </w:r>
      <w:proofErr w:type="spellStart"/>
      <w:proofErr w:type="gramStart"/>
      <w:r w:rsidRPr="00750546">
        <w:rPr>
          <w:lang w:val="es-MX"/>
        </w:rPr>
        <w:t>cuasi-experimental</w:t>
      </w:r>
      <w:proofErr w:type="spellEnd"/>
      <w:proofErr w:type="gramEnd"/>
      <w:r w:rsidRPr="00750546">
        <w:rPr>
          <w:lang w:val="es-MX"/>
        </w:rPr>
        <w:t xml:space="preserve"> que compara tasas de crimen semanales antes y durante la pandemia, controlando por tendencias estacionales y efectos fijos de ciudad. Se analizan datos de 28 de las 70 ciudades más grandes de EE. UU. que hicieron públicos datos de conteos semanales de delitos para 2018, 2019 y 2020.</w:t>
      </w:r>
    </w:p>
    <w:p w14:paraId="179FD2F5" w14:textId="77777777" w:rsidR="00750546" w:rsidRPr="00750546" w:rsidRDefault="00750546" w:rsidP="00750546">
      <w:pPr>
        <w:spacing w:before="120" w:after="120"/>
        <w:jc w:val="both"/>
        <w:rPr>
          <w:lang w:val="es-MX"/>
        </w:rPr>
      </w:pPr>
      <w:r w:rsidRPr="00750546">
        <w:rPr>
          <w:lang w:val="es-MX"/>
        </w:rPr>
        <w:t>Las variables corresponden a:</w:t>
      </w:r>
    </w:p>
    <w:p w14:paraId="696CCDBA" w14:textId="77777777" w:rsidR="00750546" w:rsidRPr="00750546" w:rsidRDefault="00750546" w:rsidP="00750546">
      <w:pPr>
        <w:numPr>
          <w:ilvl w:val="0"/>
          <w:numId w:val="3"/>
        </w:numPr>
        <w:spacing w:before="120" w:after="120"/>
        <w:contextualSpacing/>
        <w:jc w:val="both"/>
        <w:rPr>
          <w:lang w:val="es-MX"/>
        </w:rPr>
      </w:pPr>
      <w:r w:rsidRPr="00750546">
        <w:rPr>
          <w:lang w:val="es-MX"/>
        </w:rPr>
        <w:t>Independientes: Períodos de 2020 (</w:t>
      </w:r>
      <w:proofErr w:type="spellStart"/>
      <w:r w:rsidRPr="00750546">
        <w:rPr>
          <w:lang w:val="es-MX"/>
        </w:rPr>
        <w:t>pre-pandemia</w:t>
      </w:r>
      <w:proofErr w:type="spellEnd"/>
      <w:r w:rsidRPr="00750546">
        <w:rPr>
          <w:lang w:val="es-MX"/>
        </w:rPr>
        <w:t>, confinamiento, protestas de verano, fin de año); índice de apertura; tiempo transcurrido desde el confinamiento en períodos quincenales.</w:t>
      </w:r>
    </w:p>
    <w:p w14:paraId="0E1D58C7" w14:textId="77777777" w:rsidR="00750546" w:rsidRPr="00750546" w:rsidRDefault="00750546" w:rsidP="00750546">
      <w:pPr>
        <w:numPr>
          <w:ilvl w:val="0"/>
          <w:numId w:val="3"/>
        </w:numPr>
        <w:spacing w:before="120" w:after="120"/>
        <w:contextualSpacing/>
        <w:jc w:val="both"/>
        <w:rPr>
          <w:lang w:val="es-MX"/>
        </w:rPr>
      </w:pPr>
      <w:r w:rsidRPr="00750546">
        <w:rPr>
          <w:lang w:val="es-MX"/>
        </w:rPr>
        <w:t>Dependientes: Conteo semanal por ciudad para cada tipo de delito (homicidio, robo de auto, allanamiento de morada, robo, hurto).</w:t>
      </w:r>
    </w:p>
    <w:p w14:paraId="16E3759B" w14:textId="77777777" w:rsidR="00750546" w:rsidRPr="00750546" w:rsidRDefault="00750546" w:rsidP="00750546">
      <w:pPr>
        <w:numPr>
          <w:ilvl w:val="0"/>
          <w:numId w:val="3"/>
        </w:numPr>
        <w:spacing w:before="120" w:after="120"/>
        <w:contextualSpacing/>
        <w:jc w:val="both"/>
        <w:rPr>
          <w:lang w:val="es-MX"/>
        </w:rPr>
      </w:pPr>
      <w:r w:rsidRPr="00750546">
        <w:rPr>
          <w:lang w:val="es-MX"/>
        </w:rPr>
        <w:t>De control: Efectos fijos de ciudad, año y mes; población de la ciudad (offset).</w:t>
      </w:r>
    </w:p>
    <w:p w14:paraId="2F236E56" w14:textId="77777777" w:rsidR="00750546" w:rsidRPr="00750546" w:rsidRDefault="00750546" w:rsidP="00750546">
      <w:pPr>
        <w:spacing w:before="120" w:after="120"/>
        <w:jc w:val="both"/>
        <w:rPr>
          <w:lang w:val="es-MX"/>
        </w:rPr>
      </w:pPr>
      <w:r w:rsidRPr="00750546">
        <w:rPr>
          <w:lang w:val="es-MX"/>
        </w:rPr>
        <w:t>Los principales hallazgos indican que:</w:t>
      </w:r>
    </w:p>
    <w:p w14:paraId="7D4CA777" w14:textId="77777777" w:rsidR="00750546" w:rsidRPr="00750546" w:rsidRDefault="00750546" w:rsidP="00750546">
      <w:pPr>
        <w:numPr>
          <w:ilvl w:val="0"/>
          <w:numId w:val="4"/>
        </w:numPr>
        <w:spacing w:before="120" w:after="120"/>
        <w:contextualSpacing/>
        <w:jc w:val="both"/>
        <w:rPr>
          <w:lang w:val="es-MX"/>
        </w:rPr>
      </w:pPr>
      <w:r w:rsidRPr="00750546">
        <w:rPr>
          <w:lang w:val="es-MX"/>
        </w:rPr>
        <w:t>Las tasas de homicidio en las ciudades estadounidenses analizadas fueron más altas durante todo el año 2020 en comparación con 2018 y 2019, incluyendo los meses previos a los confinamientos de marzo.</w:t>
      </w:r>
    </w:p>
    <w:p w14:paraId="00C1725A" w14:textId="77777777" w:rsidR="00750546" w:rsidRPr="00750546" w:rsidRDefault="00750546" w:rsidP="00750546">
      <w:pPr>
        <w:numPr>
          <w:ilvl w:val="0"/>
          <w:numId w:val="4"/>
        </w:numPr>
        <w:spacing w:before="120" w:after="120"/>
        <w:contextualSpacing/>
        <w:jc w:val="both"/>
        <w:rPr>
          <w:lang w:val="es-MX"/>
        </w:rPr>
      </w:pPr>
      <w:r w:rsidRPr="00750546">
        <w:rPr>
          <w:lang w:val="es-MX"/>
        </w:rPr>
        <w:t>Los robos (</w:t>
      </w:r>
      <w:proofErr w:type="spellStart"/>
      <w:r w:rsidRPr="00750546">
        <w:rPr>
          <w:lang w:val="es-MX"/>
        </w:rPr>
        <w:t>robbery</w:t>
      </w:r>
      <w:proofErr w:type="spellEnd"/>
      <w:r w:rsidRPr="00750546">
        <w:rPr>
          <w:lang w:val="es-MX"/>
        </w:rPr>
        <w:t>) y hurtos (</w:t>
      </w:r>
      <w:proofErr w:type="spellStart"/>
      <w:r w:rsidRPr="00750546">
        <w:rPr>
          <w:lang w:val="es-MX"/>
        </w:rPr>
        <w:t>larceny</w:t>
      </w:r>
      <w:proofErr w:type="spellEnd"/>
      <w:r w:rsidRPr="00750546">
        <w:rPr>
          <w:lang w:val="es-MX"/>
        </w:rPr>
        <w:t>) disminuyeron significativamente durante todos los periodos de la pandemia.</w:t>
      </w:r>
    </w:p>
    <w:p w14:paraId="184C8C63" w14:textId="77777777" w:rsidR="00750546" w:rsidRPr="00750546" w:rsidRDefault="00750546" w:rsidP="00750546">
      <w:pPr>
        <w:numPr>
          <w:ilvl w:val="0"/>
          <w:numId w:val="4"/>
        </w:numPr>
        <w:spacing w:before="120" w:after="120"/>
        <w:contextualSpacing/>
        <w:jc w:val="both"/>
        <w:rPr>
          <w:lang w:val="es-MX"/>
        </w:rPr>
      </w:pPr>
      <w:r w:rsidRPr="00750546">
        <w:rPr>
          <w:lang w:val="es-MX"/>
        </w:rPr>
        <w:t xml:space="preserve">El robo de vehículos (auto </w:t>
      </w:r>
      <w:proofErr w:type="spellStart"/>
      <w:r w:rsidRPr="00750546">
        <w:rPr>
          <w:lang w:val="es-MX"/>
        </w:rPr>
        <w:t>theft</w:t>
      </w:r>
      <w:proofErr w:type="spellEnd"/>
      <w:r w:rsidRPr="00750546">
        <w:rPr>
          <w:lang w:val="es-MX"/>
        </w:rPr>
        <w:t>) mostró una tendencia al alza considerable durante el verano y el resto de 2020.</w:t>
      </w:r>
    </w:p>
    <w:p w14:paraId="4BB27374" w14:textId="77777777" w:rsidR="00750546" w:rsidRPr="00750546" w:rsidRDefault="00750546" w:rsidP="00750546">
      <w:pPr>
        <w:numPr>
          <w:ilvl w:val="0"/>
          <w:numId w:val="4"/>
        </w:numPr>
        <w:spacing w:before="120" w:after="120"/>
        <w:contextualSpacing/>
        <w:jc w:val="both"/>
        <w:rPr>
          <w:lang w:val="es-MX"/>
        </w:rPr>
      </w:pPr>
      <w:r w:rsidRPr="00750546">
        <w:rPr>
          <w:lang w:val="es-MX"/>
        </w:rPr>
        <w:t>Se identificó una asociación positiva y significativa entre el "índice de apertura" de las ciudades y las tasas de hurtos y robos (mayor apertura, mayor tasa), lo que sugiere que las restricciones de movimiento redujeron efectivamente estos delitos.</w:t>
      </w:r>
    </w:p>
    <w:p w14:paraId="1804050B" w14:textId="77777777" w:rsidR="00750546" w:rsidRPr="00750546" w:rsidRDefault="00750546" w:rsidP="00750546">
      <w:pPr>
        <w:spacing w:before="120" w:after="120"/>
        <w:jc w:val="both"/>
        <w:rPr>
          <w:lang w:val="es-MX"/>
        </w:rPr>
      </w:pPr>
      <w:r w:rsidRPr="00750546">
        <w:rPr>
          <w:lang w:val="es-MX"/>
        </w:rPr>
        <w:t>El estudio concluye que matizando la relación entre el impacto del COVID-19, las protestas por George Floyd y variaciones en la criminalidad urbana —con aumentos en homicidios y robos de vehículos frente a descensos en robos y hurtos—, aunque advierte la imposibilidad de aislar el efecto de las manifestaciones de otros factores como las condiciones económicas o el comportamiento policial. Fundamentalmente, los autores cuestionan que las protestas fueran la causa raíz del repunte de homicidios, ya que esta tendencia al alza ya era evidente desde inicios de 2020 y no presentó diferencias estadísticamente significativas durante el periodo de las movilizaciones de verano</w:t>
      </w:r>
    </w:p>
    <w:p w14:paraId="6D423556" w14:textId="77777777" w:rsidR="00750546" w:rsidRPr="00750546" w:rsidRDefault="00750546" w:rsidP="00750546">
      <w:pPr>
        <w:spacing w:before="120" w:after="120"/>
        <w:jc w:val="both"/>
        <w:rPr>
          <w:lang w:val="es-MX"/>
        </w:rPr>
      </w:pPr>
      <w:r w:rsidRPr="00750546">
        <w:rPr>
          <w:b/>
          <w:bCs/>
          <w:lang w:val="es-MX"/>
        </w:rPr>
        <w:t xml:space="preserve">Regalado, Timmer y Jawaid (2022) </w:t>
      </w:r>
      <w:r w:rsidRPr="00750546">
        <w:rPr>
          <w:lang w:val="es-MX"/>
        </w:rPr>
        <w:t>explora la relación entre la pandemia de COVID-19 y las tendencias delictivas. Los autores se fundamentan en dos teorías criminológicas principales.</w:t>
      </w:r>
    </w:p>
    <w:p w14:paraId="200502E1" w14:textId="77777777" w:rsidR="00750546" w:rsidRPr="00750546" w:rsidRDefault="00750546" w:rsidP="00750546">
      <w:pPr>
        <w:spacing w:before="120" w:after="120"/>
        <w:jc w:val="both"/>
        <w:rPr>
          <w:lang w:val="es-MX"/>
        </w:rPr>
      </w:pPr>
      <w:r w:rsidRPr="00750546">
        <w:rPr>
          <w:lang w:val="es-MX"/>
        </w:rPr>
        <w:t xml:space="preserve"> La Teoría de las Actividades Rutinarias de Cohen y Felson (1979) se utiliza para explicar cómo los cambios en las rutinas (confinamientos) alteraron la convergencia en tiempo y espacio de delincuentes motivados, objetivos adecuados y ausencia de guardianes, afectando las oportunidades delictivas. La Teoría General de la Tensión de Agnew (1992; 2006) se emplea para argumentar que las tensiones pandémicas (pérdida de un ser querido, del empleo, estrés, </w:t>
      </w:r>
      <w:r w:rsidRPr="00750546">
        <w:rPr>
          <w:lang w:val="es-MX"/>
        </w:rPr>
        <w:lastRenderedPageBreak/>
        <w:t>aislamiento) generan emociones negativas que, ante la falta de mecanismos de afrontamiento legítimos, pueden conducir a conductas desviadas y violentas.</w:t>
      </w:r>
    </w:p>
    <w:p w14:paraId="7B4C3518" w14:textId="77777777" w:rsidR="00750546" w:rsidRPr="00750546" w:rsidRDefault="00750546" w:rsidP="00750546">
      <w:pPr>
        <w:spacing w:before="120" w:after="120"/>
        <w:jc w:val="both"/>
        <w:rPr>
          <w:lang w:val="es-MX"/>
        </w:rPr>
      </w:pPr>
      <w:r w:rsidRPr="00750546">
        <w:rPr>
          <w:lang w:val="es-MX"/>
        </w:rPr>
        <w:t>Ambas teorías se articulan para argumentar que la pandemia alteró masivamente los factores ambientales y las condiciones psicológicas individuales que estas teorías identifican como precursores del delito, lo que explica los cambios observados en los patrones criminales.</w:t>
      </w:r>
    </w:p>
    <w:p w14:paraId="359DE53C" w14:textId="77777777" w:rsidR="00750546" w:rsidRPr="00750546" w:rsidRDefault="00750546" w:rsidP="00750546">
      <w:pPr>
        <w:spacing w:before="120" w:after="120"/>
        <w:jc w:val="both"/>
        <w:rPr>
          <w:lang w:val="es-MX"/>
        </w:rPr>
      </w:pPr>
      <w:r w:rsidRPr="00750546">
        <w:rPr>
          <w:lang w:val="es-MX"/>
        </w:rPr>
        <w:t>Se trata de un artículo de revisión de literatura, que constata una disminución inicial de delitos como robos y asaltos en espacios públicos poco después de implementarse las órdenes de confinamiento, lo cual se explica por la reducción de contactos sociales en espacios públicos. En paralelo, se identifica un aumento de cibercrimen (facilitados por el incremento masivo en el uso de tecnología y la vulnerabilidad de las redes de datos personales), hurtos en comercios (debido a la falta de vigilancia activa ("guardia capaz") en negocios cerrados o con personal reducido) y violencia interpersonal. Los autores destacan que la pandemia exacerbó las vulnerabilidades de grupos específicos, reportando un alza en crímenes de odio contra la comunidad asiática y una carga desproporcionada de violencia en comunidades negras.</w:t>
      </w:r>
    </w:p>
    <w:p w14:paraId="05701108" w14:textId="77777777" w:rsidR="00750546" w:rsidRPr="00750546" w:rsidRDefault="00750546" w:rsidP="00750546">
      <w:pPr>
        <w:spacing w:before="120" w:after="120"/>
        <w:jc w:val="both"/>
        <w:rPr>
          <w:lang w:val="es-MX"/>
        </w:rPr>
      </w:pPr>
      <w:r w:rsidRPr="00750546">
        <w:rPr>
          <w:lang w:val="es-MX"/>
        </w:rPr>
        <w:t>Se concluye que las teorías criminológicas tradicionales son útiles para explicar estos cambios, pero que se requiere un enfoque multidisciplinario para entender las variaciones según el contexto social y geográfico.</w:t>
      </w:r>
    </w:p>
    <w:p w14:paraId="374A1867" w14:textId="77777777" w:rsidR="00750546" w:rsidRPr="00750546" w:rsidRDefault="00750546" w:rsidP="00750546">
      <w:pPr>
        <w:spacing w:before="120" w:after="120"/>
        <w:jc w:val="both"/>
        <w:rPr>
          <w:lang w:val="es-MX"/>
        </w:rPr>
      </w:pPr>
      <w:r w:rsidRPr="00750546">
        <w:rPr>
          <w:b/>
          <w:bCs/>
          <w:lang w:val="es-MX"/>
        </w:rPr>
        <w:t xml:space="preserve">Stickle y Felson (2020) </w:t>
      </w:r>
      <w:r w:rsidRPr="00750546">
        <w:rPr>
          <w:lang w:val="es-MX"/>
        </w:rPr>
        <w:t>en el contexto sin precedentes de la pandemia de COVID-19 para el estudio de la actividad delictual, argumentan que la pandemia servirá como un campo de prueba para las teorías criminológicas, prediciendo que las perspectivas de la Criminología Ambiental (Actividades Rutinarias y Elección Racional) emergerán como las principales explicaciones, al vincular directamente la alteración de las rutinas con los cambios en las oportunidades delictivas.</w:t>
      </w:r>
    </w:p>
    <w:p w14:paraId="3096FF9C" w14:textId="77777777" w:rsidR="00750546" w:rsidRPr="00750546" w:rsidRDefault="00750546" w:rsidP="00750546">
      <w:pPr>
        <w:spacing w:before="120" w:after="120"/>
        <w:jc w:val="both"/>
        <w:rPr>
          <w:lang w:val="es-MX"/>
        </w:rPr>
      </w:pPr>
      <w:r w:rsidRPr="00750546">
        <w:rPr>
          <w:lang w:val="es-MX"/>
        </w:rPr>
        <w:t>La base teórica principal es el conjunto de perspectivas de la Criminología Ambiental, específicamente la Teoría de las Actividades Rutinarias (Cohen &amp; Felson, 1979) y la Perspectiva de la Elección Racional (Clarke &amp; Felson, 1993). Se argumenta que estas son las más adecuadas para explicar los cambios en el crimen durante la pandemia, ya que la variable más saliente que cambió abruptamente fueron las actividades rutinarias de la población debido a las órdenes de confinamiento, alterando las oportunidades delictivas, la convergencia de delincuentes y víctimas en el tiempo y el espacio, y los cálculos de costo-beneficio de los infractores.</w:t>
      </w:r>
    </w:p>
    <w:p w14:paraId="2BD8D57F" w14:textId="77777777" w:rsidR="00750546" w:rsidRPr="00750546" w:rsidRDefault="00750546" w:rsidP="00750546">
      <w:pPr>
        <w:spacing w:before="120" w:after="120"/>
        <w:jc w:val="both"/>
        <w:rPr>
          <w:lang w:val="es-MX"/>
        </w:rPr>
      </w:pPr>
      <w:r w:rsidRPr="00750546">
        <w:rPr>
          <w:lang w:val="es-MX"/>
        </w:rPr>
        <w:t>El concepto clave es la alteración de las "actividades rutinarias" causada por las "órdenes de confinamiento" (</w:t>
      </w:r>
      <w:proofErr w:type="spellStart"/>
      <w:r w:rsidRPr="00750546">
        <w:rPr>
          <w:lang w:val="es-MX"/>
        </w:rPr>
        <w:t>stay</w:t>
      </w:r>
      <w:proofErr w:type="spellEnd"/>
      <w:r w:rsidRPr="00750546">
        <w:rPr>
          <w:lang w:val="es-MX"/>
        </w:rPr>
        <w:t xml:space="preserve">-at-home </w:t>
      </w:r>
      <w:proofErr w:type="spellStart"/>
      <w:r w:rsidRPr="00750546">
        <w:rPr>
          <w:lang w:val="es-MX"/>
        </w:rPr>
        <w:t>orders</w:t>
      </w:r>
      <w:proofErr w:type="spellEnd"/>
      <w:r w:rsidRPr="00750546">
        <w:rPr>
          <w:lang w:val="es-MX"/>
        </w:rPr>
        <w:t>). Estas órdenes, al modificar dónde, cuándo y cómo se desenvuelven las personas, impactan directamente la "estructura de oportunidad" para el delito. Se articula que otros factores como la pobreza, el autocontrol o la desigualdad no cambiaron de manera tan inmediata y generalizada como para explicar la abrupta caída del crimen, destacando el poder explicativo de los cambios ambientales y situacionales sobre el comportamiento criminal.</w:t>
      </w:r>
    </w:p>
    <w:p w14:paraId="38832A1A" w14:textId="77777777" w:rsidR="00750546" w:rsidRPr="00750546" w:rsidRDefault="00750546" w:rsidP="00750546">
      <w:pPr>
        <w:spacing w:before="120" w:after="120"/>
        <w:jc w:val="both"/>
        <w:rPr>
          <w:lang w:val="es-MX"/>
        </w:rPr>
      </w:pPr>
      <w:r w:rsidRPr="00750546">
        <w:rPr>
          <w:b/>
          <w:bCs/>
          <w:lang w:val="es-MX"/>
        </w:rPr>
        <w:t>Zheng et al. (2025)</w:t>
      </w:r>
      <w:r w:rsidRPr="00750546">
        <w:rPr>
          <w:lang w:val="es-MX"/>
        </w:rPr>
        <w:t xml:space="preserve"> analiza la evolución espaciotemporal de los delitos de robo y sus factores influyentes en la provincia de JZ (China), antes y durante la COVID-19. El estudio se basa principalmente en la Teoría de la Actividad Rutinaria (Cohen y Felson, 1979), la cual destaca las oportunidades y las condiciones que propician la delincuencia, y sostiene que la </w:t>
      </w:r>
      <w:r w:rsidRPr="00750546">
        <w:rPr>
          <w:lang w:val="es-MX"/>
        </w:rPr>
        <w:lastRenderedPageBreak/>
        <w:t xml:space="preserve">interacción entre las víctimas, los delincuentes y los guardianes en el entorno físico influye en la comisión de delitos; y la Teoría del Patrón del Crimen (Brantingham y Brantingham, 1984), que sostiene que los delitos ocurren en zonas determinadas, pues es más probable que se produzcan delitos en aquellos lugares donde los espacios de actividad de los delincuentes se solapan con los de las posibles víctimas. </w:t>
      </w:r>
    </w:p>
    <w:p w14:paraId="1AF2ED6E" w14:textId="77777777" w:rsidR="00750546" w:rsidRPr="00750546" w:rsidRDefault="00750546" w:rsidP="00750546">
      <w:pPr>
        <w:spacing w:before="120" w:after="120"/>
        <w:jc w:val="both"/>
        <w:rPr>
          <w:lang w:val="es-MX"/>
        </w:rPr>
      </w:pPr>
      <w:r w:rsidRPr="00750546">
        <w:rPr>
          <w:lang w:val="es-MX"/>
        </w:rPr>
        <w:t>Estas teorías sostienen que el crimen ocurre cuando un infractor y un objetivo convergen en el espacio y el tiempo en ausencia de un guardián capaz, y que esta convergencia está moldeada por los patrones de actividad rutinaria de las personas. El artículo argumenta que las restricciones de la COVID-19 alteraron estas rutinas, reduciendo las oportunidades delictivas.</w:t>
      </w:r>
    </w:p>
    <w:p w14:paraId="748B6176" w14:textId="77777777" w:rsidR="00750546" w:rsidRPr="00750546" w:rsidRDefault="00750546" w:rsidP="00750546">
      <w:pPr>
        <w:spacing w:before="120" w:after="120"/>
        <w:jc w:val="both"/>
        <w:rPr>
          <w:lang w:val="es-MX"/>
        </w:rPr>
      </w:pPr>
      <w:r w:rsidRPr="00750546">
        <w:rPr>
          <w:lang w:val="es-MX"/>
        </w:rPr>
        <w:t>Así, se conceptualizan la oportunidad delictiva (interacción de infractores, objetivos y guardianes); los generadores/atractores de crimen (áreas con alta movilidad poblacional y vitalidad urbana); y factores socioeconómicos espaciales (condiciones económicas, estructura poblacional). El argumento central es que las restricciones pandémicas alteraron los patrones de movilidad (rutinas), reduciendo la convergencia entre infractores y objetivos, lo que a su vez modificó los patrones espaciales y temporales de los robos, los cuales siguen estando fuertemente asociados a factores macroeconómicos y demográficos urbanos.</w:t>
      </w:r>
    </w:p>
    <w:p w14:paraId="2226D72B" w14:textId="77777777" w:rsidR="00750546" w:rsidRPr="00750546" w:rsidRDefault="00750546" w:rsidP="00750546">
      <w:pPr>
        <w:spacing w:before="120" w:after="120"/>
        <w:jc w:val="both"/>
        <w:rPr>
          <w:lang w:val="es-MX"/>
        </w:rPr>
      </w:pPr>
      <w:r w:rsidRPr="00750546">
        <w:rPr>
          <w:lang w:val="es-MX"/>
        </w:rPr>
        <w:t>Se trata de una investigación cuantitativa, no experimental, de diseño comparativo (antes vs. durante la COVID-19) con análisis espacial transversal. Los datos corresponden a 692018 casos de robo reportados entre enero de 2019 y diciembre de 2020 en la provincia de JZ, China. Los datos se agregan a nivel de 89 distritos y condados. Se incluyen varios tipos de robo (tiendas, vehículos, personas, allanamientos).</w:t>
      </w:r>
    </w:p>
    <w:p w14:paraId="4719444B" w14:textId="77777777" w:rsidR="00750546" w:rsidRPr="00750546" w:rsidRDefault="00750546" w:rsidP="00750546">
      <w:pPr>
        <w:spacing w:before="120" w:after="120"/>
        <w:jc w:val="both"/>
        <w:rPr>
          <w:lang w:val="es-MX"/>
        </w:rPr>
      </w:pPr>
      <w:r w:rsidRPr="00750546">
        <w:rPr>
          <w:lang w:val="es-MX"/>
        </w:rPr>
        <w:t>Las variables son:</w:t>
      </w:r>
    </w:p>
    <w:p w14:paraId="2F5DC983" w14:textId="77777777" w:rsidR="00750546" w:rsidRPr="00750546" w:rsidRDefault="00750546" w:rsidP="00750546">
      <w:pPr>
        <w:numPr>
          <w:ilvl w:val="0"/>
          <w:numId w:val="9"/>
        </w:numPr>
        <w:spacing w:before="120" w:after="120"/>
        <w:contextualSpacing/>
        <w:jc w:val="both"/>
        <w:rPr>
          <w:lang w:val="es-MX"/>
        </w:rPr>
      </w:pPr>
      <w:r w:rsidRPr="00750546">
        <w:rPr>
          <w:lang w:val="es-MX"/>
        </w:rPr>
        <w:t>Independientes: Densidad de población, Estructura poblacional (proporción de ancianos y jóvenes), PIB per cápita de residentes registrados, Ingresos del presupuesto público general, PIB regional, Producción de la industria terciaria, Número de empresas industriales por encima de un tamaño designado.</w:t>
      </w:r>
    </w:p>
    <w:p w14:paraId="3C087F61" w14:textId="77777777" w:rsidR="00750546" w:rsidRPr="00750546" w:rsidRDefault="00750546" w:rsidP="00750546">
      <w:pPr>
        <w:numPr>
          <w:ilvl w:val="0"/>
          <w:numId w:val="9"/>
        </w:numPr>
        <w:spacing w:before="120" w:after="120"/>
        <w:contextualSpacing/>
        <w:jc w:val="both"/>
        <w:rPr>
          <w:lang w:val="es-MX"/>
        </w:rPr>
      </w:pPr>
      <w:r w:rsidRPr="00750546">
        <w:rPr>
          <w:lang w:val="es-MX"/>
        </w:rPr>
        <w:t>Dependientes: Número de delitos de robo.</w:t>
      </w:r>
    </w:p>
    <w:p w14:paraId="2D0B8F72" w14:textId="77777777" w:rsidR="00750546" w:rsidRPr="00750546" w:rsidRDefault="00750546" w:rsidP="00750546">
      <w:pPr>
        <w:spacing w:before="120" w:after="120"/>
        <w:jc w:val="both"/>
        <w:rPr>
          <w:lang w:val="es-MX"/>
        </w:rPr>
      </w:pPr>
      <w:r w:rsidRPr="00750546">
        <w:rPr>
          <w:lang w:val="es-MX"/>
        </w:rPr>
        <w:t>Los hallazgos indican que:</w:t>
      </w:r>
    </w:p>
    <w:p w14:paraId="2F8ACEC6" w14:textId="77777777" w:rsidR="00750546" w:rsidRPr="00750546" w:rsidRDefault="00750546" w:rsidP="00750546">
      <w:pPr>
        <w:numPr>
          <w:ilvl w:val="0"/>
          <w:numId w:val="10"/>
        </w:numPr>
        <w:spacing w:before="120" w:after="120"/>
        <w:contextualSpacing/>
        <w:jc w:val="both"/>
        <w:rPr>
          <w:lang w:val="es-MX"/>
        </w:rPr>
      </w:pPr>
      <w:r w:rsidRPr="00750546">
        <w:rPr>
          <w:lang w:val="es-MX"/>
        </w:rPr>
        <w:t>La pandemia de COVID-19 tuvo un impacto significativo en las tasas de robo en la provincia de JZ, China, con una disminución general del 27%.</w:t>
      </w:r>
    </w:p>
    <w:p w14:paraId="7B2B4AE8" w14:textId="77777777" w:rsidR="00750546" w:rsidRPr="00750546" w:rsidRDefault="00750546" w:rsidP="00750546">
      <w:pPr>
        <w:numPr>
          <w:ilvl w:val="0"/>
          <w:numId w:val="10"/>
        </w:numPr>
        <w:spacing w:before="120" w:after="120"/>
        <w:contextualSpacing/>
        <w:jc w:val="both"/>
        <w:rPr>
          <w:lang w:val="es-MX"/>
        </w:rPr>
      </w:pPr>
      <w:r w:rsidRPr="00750546">
        <w:rPr>
          <w:lang w:val="es-MX"/>
        </w:rPr>
        <w:t>Las restricciones de movilidad (distanciamiento social, trabajo desde casa) inhibieron sustancialmente la frecuencia de los incidentes de robo al alterar las rutinas diarias y reducir la convergencia entre delincuentes y objetivos.</w:t>
      </w:r>
    </w:p>
    <w:p w14:paraId="46E5A356" w14:textId="77777777" w:rsidR="00750546" w:rsidRPr="00750546" w:rsidRDefault="00750546" w:rsidP="00750546">
      <w:pPr>
        <w:numPr>
          <w:ilvl w:val="0"/>
          <w:numId w:val="10"/>
        </w:numPr>
        <w:spacing w:before="120" w:after="120"/>
        <w:contextualSpacing/>
        <w:jc w:val="both"/>
        <w:rPr>
          <w:lang w:val="es-MX"/>
        </w:rPr>
      </w:pPr>
      <w:r w:rsidRPr="00750546">
        <w:rPr>
          <w:lang w:val="es-MX"/>
        </w:rPr>
        <w:t>Tanto antes como durante la pandemia, los centros de las ciudades y las regiones costeras experimentaron la mayor incidencia de robos, vinculándose con áreas económicamente prósperas y dinámicas.</w:t>
      </w:r>
    </w:p>
    <w:p w14:paraId="72B7FA39" w14:textId="77777777" w:rsidR="00750546" w:rsidRPr="00750546" w:rsidRDefault="00750546" w:rsidP="00750546">
      <w:pPr>
        <w:numPr>
          <w:ilvl w:val="0"/>
          <w:numId w:val="10"/>
        </w:numPr>
        <w:spacing w:before="120" w:after="120"/>
        <w:contextualSpacing/>
        <w:jc w:val="both"/>
        <w:rPr>
          <w:lang w:val="es-MX"/>
        </w:rPr>
      </w:pPr>
      <w:r w:rsidRPr="00750546">
        <w:rPr>
          <w:lang w:val="es-MX"/>
        </w:rPr>
        <w:t>Las finanzas gubernamentales y las condiciones económicas regionales demostraron un fuerte poder explicativo para la criminalidad en ambos periodos.</w:t>
      </w:r>
    </w:p>
    <w:p w14:paraId="170750B3" w14:textId="77777777" w:rsidR="00750546" w:rsidRPr="00750546" w:rsidRDefault="00750546" w:rsidP="00750546">
      <w:pPr>
        <w:numPr>
          <w:ilvl w:val="0"/>
          <w:numId w:val="10"/>
        </w:numPr>
        <w:spacing w:before="120" w:after="120"/>
        <w:contextualSpacing/>
        <w:jc w:val="both"/>
        <w:rPr>
          <w:lang w:val="es-MX"/>
        </w:rPr>
      </w:pPr>
      <w:r w:rsidRPr="00750546">
        <w:rPr>
          <w:lang w:val="es-MX"/>
        </w:rPr>
        <w:t>Se identificó una correlación positiva entre la vitalidad urbana (presencia de población joven y anciana) y las actividades de robo.</w:t>
      </w:r>
    </w:p>
    <w:p w14:paraId="0EAF9D66" w14:textId="77777777" w:rsidR="00750546" w:rsidRPr="00750546" w:rsidRDefault="00750546" w:rsidP="00750546">
      <w:pPr>
        <w:spacing w:before="120" w:after="120"/>
        <w:jc w:val="both"/>
        <w:rPr>
          <w:lang w:val="es-MX"/>
        </w:rPr>
      </w:pPr>
      <w:r w:rsidRPr="00750546">
        <w:rPr>
          <w:lang w:val="es-MX"/>
        </w:rPr>
        <w:lastRenderedPageBreak/>
        <w:t>El estudio concluye que las zonas con densidad de población moderada registran la mayor cantidad de robos, ya que las áreas poco pobladas tienen pocos objetivos y las muy pobladas tienen mayor vigilancia ciudadana.</w:t>
      </w:r>
    </w:p>
    <w:p w14:paraId="023618A4" w14:textId="77777777" w:rsidR="00750546" w:rsidRPr="00750546" w:rsidRDefault="00750546" w:rsidP="00750546">
      <w:pPr>
        <w:spacing w:before="120" w:after="120"/>
        <w:jc w:val="both"/>
        <w:rPr>
          <w:lang w:val="es-MX"/>
        </w:rPr>
      </w:pPr>
      <w:r w:rsidRPr="00750546">
        <w:rPr>
          <w:b/>
          <w:bCs/>
          <w:lang w:val="es-MX"/>
        </w:rPr>
        <w:t>Seyidoglu et al. (2024)</w:t>
      </w:r>
      <w:r w:rsidRPr="00750546">
        <w:t xml:space="preserve"> </w:t>
      </w:r>
      <w:r w:rsidRPr="00750546">
        <w:rPr>
          <w:lang w:val="es-MX"/>
        </w:rPr>
        <w:t>analiza las tendencias delictivas en Inglaterra y Gales durante 42 meses (dos años de pandemia y 18 meses posteriores), comparando tasas observadas con las esperadas mediante modelos ARIMA y datos de movilidad poblacional. El estudio se sustenta en la teoría de la oportunidad delictiva, que engloba perspectivas como la teoría del estilo de vida, las actividades rutinarias y la elección racional. La oportunidad delictiva se define como cualquier situación donde los beneficios percibidos de cometer un delito superan los costos percibidos. Se enfoca en el impacto que han sufrido dichas oportunidades a raíz de los cambios en la densidad de población (que reflejan los cambios en los desplazamientos de las personas) durante la pandemia, como consecuencia de las políticas sanitarias y las normativas relacionadas con la COVID-19.</w:t>
      </w:r>
    </w:p>
    <w:p w14:paraId="705C0319" w14:textId="77777777" w:rsidR="00750546" w:rsidRPr="00750546" w:rsidRDefault="00750546" w:rsidP="00750546">
      <w:pPr>
        <w:spacing w:before="120" w:after="120"/>
        <w:jc w:val="both"/>
        <w:rPr>
          <w:lang w:val="es-MX"/>
        </w:rPr>
      </w:pPr>
      <w:r w:rsidRPr="00750546">
        <w:rPr>
          <w:lang w:val="es-MX"/>
        </w:rPr>
        <w:t xml:space="preserve">La premisa central es que, más que, por ejemplo, el perfil de los delincuentes o las víctimas, o el tipo de objetivos, los cambios en las oportunidades delictivas, impulsados por alteraciones en la movilidad y la interacción de las personas, explican las variaciones en las tasas de delincuencia. </w:t>
      </w:r>
    </w:p>
    <w:p w14:paraId="14EFC6C8" w14:textId="77777777" w:rsidR="00750546" w:rsidRPr="00750546" w:rsidRDefault="00750546" w:rsidP="00750546">
      <w:pPr>
        <w:spacing w:before="120" w:after="120"/>
        <w:jc w:val="both"/>
        <w:rPr>
          <w:lang w:val="es-MX"/>
        </w:rPr>
      </w:pPr>
      <w:r w:rsidRPr="00750546">
        <w:rPr>
          <w:lang w:val="es-MX"/>
        </w:rPr>
        <w:t xml:space="preserve">El diseño de investigación corresponde a un estudio cuantitativo longitudinal que emplea análisis de series temporales para comparar tasas de delito observadas durante y después de la pandemia con tasas esperadas pronosticadas a partir de datos </w:t>
      </w:r>
      <w:proofErr w:type="spellStart"/>
      <w:r w:rsidRPr="00750546">
        <w:rPr>
          <w:lang w:val="es-MX"/>
        </w:rPr>
        <w:t>pre-pandémicos</w:t>
      </w:r>
      <w:proofErr w:type="spellEnd"/>
      <w:r w:rsidRPr="00750546">
        <w:rPr>
          <w:lang w:val="es-MX"/>
        </w:rPr>
        <w:t xml:space="preserve">. Se utilizaron datos de delitos registrados por la policía para todas las fuerzas policiales de Inglaterra y Gales, excepto </w:t>
      </w:r>
      <w:proofErr w:type="spellStart"/>
      <w:r w:rsidRPr="00750546">
        <w:rPr>
          <w:lang w:val="es-MX"/>
        </w:rPr>
        <w:t>Greater</w:t>
      </w:r>
      <w:proofErr w:type="spellEnd"/>
      <w:r w:rsidRPr="00750546">
        <w:rPr>
          <w:lang w:val="es-MX"/>
        </w:rPr>
        <w:t xml:space="preserve"> Manchester, desde marzo de 2015 hasta agosto de 2023. Se analizan 13 tipos de delito y el comportamiento antisocial: robo de bicicletas, robo con allanamiento, daños y quema intencionada, delitos de drogas, otros crímenes, otros robos, posesión de armas, alteración del orden público, robo con violencia, hurto en tiendas, hurto a la persona, delitos relacionados con vehículos, y violencia y delitos sexuales.</w:t>
      </w:r>
    </w:p>
    <w:p w14:paraId="4DA9920A" w14:textId="77777777" w:rsidR="00750546" w:rsidRPr="00750546" w:rsidRDefault="00750546" w:rsidP="00750546">
      <w:pPr>
        <w:spacing w:before="120" w:after="120"/>
        <w:jc w:val="both"/>
        <w:rPr>
          <w:lang w:val="es-MX"/>
        </w:rPr>
      </w:pPr>
      <w:r w:rsidRPr="00750546">
        <w:rPr>
          <w:lang w:val="es-MX"/>
        </w:rPr>
        <w:t>Las variables corresponden a:</w:t>
      </w:r>
    </w:p>
    <w:p w14:paraId="7D5469FD" w14:textId="77777777" w:rsidR="00000000" w:rsidRPr="00750546" w:rsidRDefault="00000000" w:rsidP="00750546">
      <w:pPr>
        <w:numPr>
          <w:ilvl w:val="0"/>
          <w:numId w:val="8"/>
        </w:numPr>
        <w:spacing w:before="120" w:after="120"/>
        <w:jc w:val="both"/>
        <w:rPr>
          <w:lang w:val="es-MX"/>
        </w:rPr>
      </w:pPr>
      <w:r w:rsidRPr="00750546">
        <w:rPr>
          <w:lang w:val="es-MX"/>
        </w:rPr>
        <w:t>Independientes: Restricciones legales por COVID-19 ("</w:t>
      </w:r>
      <w:proofErr w:type="spellStart"/>
      <w:r w:rsidRPr="00750546">
        <w:rPr>
          <w:lang w:val="es-MX"/>
        </w:rPr>
        <w:t>lockdown</w:t>
      </w:r>
      <w:proofErr w:type="spellEnd"/>
      <w:r w:rsidRPr="00750546">
        <w:rPr>
          <w:lang w:val="es-MX"/>
        </w:rPr>
        <w:t xml:space="preserve"> </w:t>
      </w:r>
      <w:proofErr w:type="spellStart"/>
      <w:r w:rsidRPr="00750546">
        <w:rPr>
          <w:lang w:val="es-MX"/>
        </w:rPr>
        <w:t>laws</w:t>
      </w:r>
      <w:proofErr w:type="spellEnd"/>
      <w:r w:rsidRPr="00750546">
        <w:rPr>
          <w:lang w:val="es-MX"/>
        </w:rPr>
        <w:t>") y cambios en la población/movilidad ambiental</w:t>
      </w:r>
      <w:r w:rsidR="00750546" w:rsidRPr="00750546">
        <w:rPr>
          <w:lang w:val="es-MX"/>
        </w:rPr>
        <w:t>.</w:t>
      </w:r>
    </w:p>
    <w:p w14:paraId="2A72FF61" w14:textId="77777777" w:rsidR="00750546" w:rsidRPr="00750546" w:rsidRDefault="00000000" w:rsidP="00750546">
      <w:pPr>
        <w:numPr>
          <w:ilvl w:val="0"/>
          <w:numId w:val="8"/>
        </w:numPr>
        <w:spacing w:before="120" w:after="120"/>
        <w:jc w:val="both"/>
        <w:rPr>
          <w:lang w:val="es-MX"/>
        </w:rPr>
      </w:pPr>
      <w:r w:rsidRPr="00750546">
        <w:rPr>
          <w:lang w:val="es-MX"/>
        </w:rPr>
        <w:t xml:space="preserve">Dependientes: Tasas mensuales de los 13 tipos de delito y </w:t>
      </w:r>
      <w:r w:rsidR="00750546" w:rsidRPr="00750546">
        <w:rPr>
          <w:lang w:val="es-MX"/>
        </w:rPr>
        <w:t>comportamiento antisocial</w:t>
      </w:r>
      <w:r w:rsidRPr="00750546">
        <w:rPr>
          <w:lang w:val="es-MX"/>
        </w:rPr>
        <w:t xml:space="preserve"> listados</w:t>
      </w:r>
      <w:r w:rsidR="00750546" w:rsidRPr="00750546">
        <w:rPr>
          <w:lang w:val="es-MX"/>
        </w:rPr>
        <w:t>.</w:t>
      </w:r>
    </w:p>
    <w:p w14:paraId="18BBF871" w14:textId="77777777" w:rsidR="00750546" w:rsidRPr="00750546" w:rsidRDefault="00750546" w:rsidP="00750546">
      <w:pPr>
        <w:spacing w:before="120" w:after="120"/>
        <w:jc w:val="both"/>
        <w:rPr>
          <w:lang w:val="es-MX"/>
        </w:rPr>
      </w:pPr>
      <w:r w:rsidRPr="00750546">
        <w:rPr>
          <w:lang w:val="es-MX"/>
        </w:rPr>
        <w:t>Los principales hallazgos señalan que:</w:t>
      </w:r>
    </w:p>
    <w:p w14:paraId="7E36D679" w14:textId="77777777" w:rsidR="00750546" w:rsidRPr="00750546" w:rsidRDefault="00750546" w:rsidP="00750546">
      <w:pPr>
        <w:numPr>
          <w:ilvl w:val="0"/>
          <w:numId w:val="8"/>
        </w:numPr>
        <w:spacing w:before="120" w:after="120"/>
        <w:jc w:val="both"/>
        <w:rPr>
          <w:lang w:val="es-MX"/>
        </w:rPr>
      </w:pPr>
      <w:r w:rsidRPr="00750546">
        <w:rPr>
          <w:lang w:val="es-MX"/>
        </w:rPr>
        <w:t>En el primer año de la pandemia, las tasas de criminalidad observadas divergieron drásticamente de las esperadas, fluctuando en línea directa con las restricciones de movimiento de los tres confinamientos nacionales.</w:t>
      </w:r>
    </w:p>
    <w:p w14:paraId="18CECE7B" w14:textId="77777777" w:rsidR="00750546" w:rsidRPr="00750546" w:rsidRDefault="00750546" w:rsidP="00750546">
      <w:pPr>
        <w:numPr>
          <w:ilvl w:val="0"/>
          <w:numId w:val="8"/>
        </w:numPr>
        <w:spacing w:before="120" w:after="120"/>
        <w:jc w:val="both"/>
        <w:rPr>
          <w:lang w:val="es-MX"/>
        </w:rPr>
      </w:pPr>
      <w:r w:rsidRPr="00750546">
        <w:rPr>
          <w:lang w:val="es-MX"/>
        </w:rPr>
        <w:t>Durante el segundo año, con la flexibilización de las medidas, las tasas se acercaron a los niveles esperados pero permanecieron significativamente por debajo en la mayoría de las categorías.</w:t>
      </w:r>
    </w:p>
    <w:p w14:paraId="50D3F529" w14:textId="77777777" w:rsidR="00750546" w:rsidRPr="00750546" w:rsidRDefault="00750546" w:rsidP="00750546">
      <w:pPr>
        <w:numPr>
          <w:ilvl w:val="0"/>
          <w:numId w:val="8"/>
        </w:numPr>
        <w:spacing w:before="120" w:after="120"/>
        <w:jc w:val="both"/>
        <w:rPr>
          <w:lang w:val="es-MX"/>
        </w:rPr>
      </w:pPr>
      <w:r w:rsidRPr="00750546">
        <w:rPr>
          <w:lang w:val="es-MX"/>
        </w:rPr>
        <w:t xml:space="preserve">En el periodo </w:t>
      </w:r>
      <w:proofErr w:type="spellStart"/>
      <w:proofErr w:type="gramStart"/>
      <w:r w:rsidRPr="00750546">
        <w:rPr>
          <w:lang w:val="es-MX"/>
        </w:rPr>
        <w:t>post-pandemia</w:t>
      </w:r>
      <w:proofErr w:type="spellEnd"/>
      <w:proofErr w:type="gramEnd"/>
      <w:r w:rsidRPr="00750546">
        <w:rPr>
          <w:lang w:val="es-MX"/>
        </w:rPr>
        <w:t xml:space="preserve"> (año 3 y mediados del 4), a pesar del aumento de la movilidad, muchos delitos continuaron en niveles inferiores a los previstos: hurto a </w:t>
      </w:r>
      <w:r w:rsidRPr="00750546">
        <w:rPr>
          <w:lang w:val="es-MX"/>
        </w:rPr>
        <w:lastRenderedPageBreak/>
        <w:t>personas (-22%), robo con fuerza/</w:t>
      </w:r>
      <w:proofErr w:type="spellStart"/>
      <w:r w:rsidRPr="00750546">
        <w:rPr>
          <w:lang w:val="es-MX"/>
        </w:rPr>
        <w:t>burglary</w:t>
      </w:r>
      <w:proofErr w:type="spellEnd"/>
      <w:r w:rsidRPr="00750546">
        <w:rPr>
          <w:lang w:val="es-MX"/>
        </w:rPr>
        <w:t xml:space="preserve"> (-20%), delitos vehiculares (-29%), violencia y delitos sexuales (-27%) y robo con intimidación/</w:t>
      </w:r>
      <w:proofErr w:type="spellStart"/>
      <w:r w:rsidRPr="00750546">
        <w:rPr>
          <w:lang w:val="es-MX"/>
        </w:rPr>
        <w:t>robbery</w:t>
      </w:r>
      <w:proofErr w:type="spellEnd"/>
      <w:r w:rsidRPr="00750546">
        <w:rPr>
          <w:lang w:val="es-MX"/>
        </w:rPr>
        <w:t xml:space="preserve"> (-16%).</w:t>
      </w:r>
    </w:p>
    <w:p w14:paraId="6E7113BD" w14:textId="77777777" w:rsidR="00750546" w:rsidRPr="00750546" w:rsidRDefault="00750546" w:rsidP="00750546">
      <w:pPr>
        <w:numPr>
          <w:ilvl w:val="0"/>
          <w:numId w:val="8"/>
        </w:numPr>
        <w:spacing w:before="120" w:after="120"/>
        <w:jc w:val="both"/>
        <w:rPr>
          <w:lang w:val="es-MX"/>
        </w:rPr>
      </w:pPr>
      <w:r w:rsidRPr="00750546">
        <w:rPr>
          <w:lang w:val="es-MX"/>
        </w:rPr>
        <w:t>El hurto en tiendas fue la excepción, aumentando y alcanzando un 20% por encima de lo esperado para agosto de 2023.</w:t>
      </w:r>
    </w:p>
    <w:p w14:paraId="030F1E71" w14:textId="77777777" w:rsidR="00750546" w:rsidRPr="00750546" w:rsidRDefault="00750546" w:rsidP="00750546">
      <w:pPr>
        <w:numPr>
          <w:ilvl w:val="0"/>
          <w:numId w:val="8"/>
        </w:numPr>
        <w:spacing w:before="120" w:after="120"/>
        <w:jc w:val="both"/>
        <w:rPr>
          <w:lang w:val="es-MX"/>
        </w:rPr>
      </w:pPr>
      <w:r w:rsidRPr="00750546">
        <w:rPr>
          <w:lang w:val="es-MX"/>
        </w:rPr>
        <w:t xml:space="preserve">La conclusión principal es que las tendencias criminales siguieron de cerca el movimiento de la población ambiental; los cambios persistentes en el estilo de vida, especialmente el teletrabajo, explican por qué muchos delitos no han regresado a sus niveles </w:t>
      </w:r>
      <w:proofErr w:type="spellStart"/>
      <w:r w:rsidRPr="00750546">
        <w:rPr>
          <w:lang w:val="es-MX"/>
        </w:rPr>
        <w:t>pre-pandémicos</w:t>
      </w:r>
      <w:proofErr w:type="spellEnd"/>
      <w:r w:rsidRPr="00750546">
        <w:rPr>
          <w:lang w:val="es-MX"/>
        </w:rPr>
        <w:t>.</w:t>
      </w:r>
    </w:p>
    <w:p w14:paraId="760F945D" w14:textId="77777777" w:rsidR="00750546" w:rsidRPr="00750546" w:rsidRDefault="00750546" w:rsidP="00750546">
      <w:pPr>
        <w:keepNext/>
        <w:keepLines/>
        <w:spacing w:before="160" w:after="80"/>
        <w:jc w:val="both"/>
        <w:outlineLvl w:val="1"/>
        <w:rPr>
          <w:rFonts w:eastAsiaTheme="majorEastAsia" w:cstheme="majorBidi"/>
          <w:color w:val="0F4761" w:themeColor="accent1" w:themeShade="BF"/>
          <w:lang w:val="es-MX"/>
        </w:rPr>
      </w:pPr>
      <w:r w:rsidRPr="00750546">
        <w:rPr>
          <w:rFonts w:eastAsiaTheme="majorEastAsia" w:cstheme="majorBidi"/>
          <w:color w:val="0F4761" w:themeColor="accent1" w:themeShade="BF"/>
          <w:lang w:val="es-MX"/>
        </w:rPr>
        <w:t>Crimen y protesta social</w:t>
      </w:r>
    </w:p>
    <w:p w14:paraId="4EBBA048" w14:textId="77777777" w:rsidR="00750546" w:rsidRPr="00750546" w:rsidRDefault="00750546" w:rsidP="00750546">
      <w:pPr>
        <w:spacing w:before="120" w:after="120"/>
        <w:jc w:val="both"/>
        <w:rPr>
          <w:lang w:val="es-MX"/>
        </w:rPr>
      </w:pPr>
      <w:r w:rsidRPr="00750546">
        <w:rPr>
          <w:b/>
          <w:bCs/>
          <w:lang w:val="es-MX"/>
        </w:rPr>
        <w:t xml:space="preserve">Bell, </w:t>
      </w:r>
      <w:proofErr w:type="spellStart"/>
      <w:r w:rsidRPr="00750546">
        <w:rPr>
          <w:b/>
          <w:bCs/>
          <w:lang w:val="es-MX"/>
        </w:rPr>
        <w:t>Jaitman</w:t>
      </w:r>
      <w:proofErr w:type="spellEnd"/>
      <w:r w:rsidRPr="00750546">
        <w:rPr>
          <w:b/>
          <w:bCs/>
          <w:lang w:val="es-MX"/>
        </w:rPr>
        <w:t xml:space="preserve"> y Machin (2014)</w:t>
      </w:r>
      <w:r w:rsidRPr="00750546">
        <w:rPr>
          <w:lang w:val="es-MX"/>
        </w:rPr>
        <w:t xml:space="preserve"> analizan el efecto disuasorio de sentencias más severas tras los disturbios de Londres en agosto de 2011. Su estudio se enmarca en la economía del crimen, específicamente en la teoría de la disuasión, que postula que sanciones más severas pueden reducir la actividad criminal al aumentar los costos esperados para los infractores, sustentado en trabajos clásicos como los de Beccaria (1764), Bentham (1789) y Becker (1968), y en revisiones contemporáneas como Nagin (2013).</w:t>
      </w:r>
    </w:p>
    <w:p w14:paraId="0F00DBAD" w14:textId="77777777" w:rsidR="00750546" w:rsidRPr="00750546" w:rsidRDefault="00750546" w:rsidP="00750546">
      <w:pPr>
        <w:spacing w:before="120" w:after="120"/>
        <w:jc w:val="both"/>
        <w:rPr>
          <w:lang w:val="es-MX"/>
        </w:rPr>
      </w:pPr>
      <w:r w:rsidRPr="00750546">
        <w:rPr>
          <w:lang w:val="es-MX"/>
        </w:rPr>
        <w:t>Se conceptualizan la disuasión: efecto preventivo de sanciones más duras; desplazamiento funcional: sustitución de un tipo de delito por otro en respuesta a cambios en incentivos; desplazamiento espacial: movimiento de la actividad criminal a ubicaciones geográficas diferentes; delitos de disturbio: robos, daños criminales y violencia contra personas, que aumentaron durante los disturbios; delitos no relacionados con disturbios: otros crímenes como robo, hurto, fraude, drogas, etc. El argumento central es que el aumento en la severidad de las sentencias tras los disturbios alteró los incentivos de los potenciales infractores, generando disuasión (especialmente para delitos de disturbio) y posible desplazamiento hacia otros crímenes.</w:t>
      </w:r>
    </w:p>
    <w:p w14:paraId="2EF83671" w14:textId="77777777" w:rsidR="00750546" w:rsidRPr="00750546" w:rsidRDefault="00750546" w:rsidP="00750546">
      <w:pPr>
        <w:spacing w:before="120" w:after="120"/>
        <w:jc w:val="both"/>
        <w:rPr>
          <w:lang w:val="es-MX"/>
        </w:rPr>
      </w:pPr>
      <w:r w:rsidRPr="00750546">
        <w:rPr>
          <w:lang w:val="es-MX"/>
        </w:rPr>
        <w:t xml:space="preserve">Esta investigación comprende un diseño </w:t>
      </w:r>
      <w:proofErr w:type="spellStart"/>
      <w:proofErr w:type="gramStart"/>
      <w:r w:rsidRPr="00750546">
        <w:rPr>
          <w:lang w:val="es-MX"/>
        </w:rPr>
        <w:t>cuasi-experimental</w:t>
      </w:r>
      <w:proofErr w:type="spellEnd"/>
      <w:proofErr w:type="gramEnd"/>
      <w:r w:rsidRPr="00750546">
        <w:rPr>
          <w:lang w:val="es-MX"/>
        </w:rPr>
        <w:t xml:space="preserve"> que aprovecha los disturbios de agosto de 2011 como un evento exógeno. Se utiliza un enfoque de diferencias-en-diferencias para comparar la evolución del crimen en áreas afectadas (tratamiento) y no afectadas (control) por los disturbios, antes y después del evento. Se utilizaron datos de 4.760 </w:t>
      </w:r>
      <w:r w:rsidRPr="00750546">
        <w:rPr>
          <w:i/>
          <w:iCs/>
          <w:lang w:val="es-MX"/>
        </w:rPr>
        <w:t>sub distritos</w:t>
      </w:r>
      <w:r w:rsidRPr="00750546">
        <w:rPr>
          <w:lang w:val="es-MX"/>
        </w:rPr>
        <w:t xml:space="preserve"> (áreas pequeñas) en Londres, de los cuales 88 fueron afectados por disturbios. Los datos de crimen son mensuales (agosto 2009 a febrero 2012). Para el análisis de sentencias, se usa una base de datos administrativa con 4.500 casos, la mitad relacionada con disturbios y mitad una muestra aleatoria estratificada de condenados no relacionados a disturbios del año previo.</w:t>
      </w:r>
    </w:p>
    <w:p w14:paraId="034D688B" w14:textId="77777777" w:rsidR="00750546" w:rsidRPr="00750546" w:rsidRDefault="00750546" w:rsidP="00750546">
      <w:pPr>
        <w:spacing w:before="120" w:after="120"/>
        <w:jc w:val="both"/>
        <w:rPr>
          <w:lang w:val="es-MX"/>
        </w:rPr>
      </w:pPr>
      <w:r w:rsidRPr="00750546">
        <w:rPr>
          <w:lang w:val="es-MX"/>
        </w:rPr>
        <w:t>Las variables corresponden a:</w:t>
      </w:r>
    </w:p>
    <w:p w14:paraId="4BB047A8" w14:textId="77777777" w:rsidR="00750546" w:rsidRPr="00750546" w:rsidRDefault="00750546" w:rsidP="00750546">
      <w:pPr>
        <w:numPr>
          <w:ilvl w:val="0"/>
          <w:numId w:val="1"/>
        </w:numPr>
        <w:spacing w:before="120" w:after="120"/>
        <w:contextualSpacing/>
        <w:jc w:val="both"/>
        <w:rPr>
          <w:lang w:val="es-MX"/>
        </w:rPr>
      </w:pPr>
      <w:r w:rsidRPr="00750546">
        <w:rPr>
          <w:lang w:val="es-MX"/>
        </w:rPr>
        <w:t xml:space="preserve">Independientes: Condición de </w:t>
      </w:r>
      <w:r w:rsidRPr="00750546">
        <w:rPr>
          <w:i/>
          <w:iCs/>
          <w:lang w:val="es-MX"/>
        </w:rPr>
        <w:t xml:space="preserve">sub distritos </w:t>
      </w:r>
      <w:r w:rsidRPr="00750546">
        <w:rPr>
          <w:lang w:val="es-MX"/>
        </w:rPr>
        <w:t>afectado por disturbios, mes de los disturbios (agosto 2011), periodo posterior a los disturbios.</w:t>
      </w:r>
    </w:p>
    <w:p w14:paraId="44B9C37D" w14:textId="77777777" w:rsidR="00750546" w:rsidRPr="00750546" w:rsidRDefault="00750546" w:rsidP="00750546">
      <w:pPr>
        <w:numPr>
          <w:ilvl w:val="0"/>
          <w:numId w:val="1"/>
        </w:numPr>
        <w:spacing w:before="120" w:after="120"/>
        <w:contextualSpacing/>
        <w:jc w:val="both"/>
        <w:rPr>
          <w:lang w:val="es-MX"/>
        </w:rPr>
      </w:pPr>
      <w:r w:rsidRPr="00750546">
        <w:rPr>
          <w:lang w:val="es-MX"/>
        </w:rPr>
        <w:t>Dependientes: Tasas de crimen total, tasas de delitos de disturbio (robos, daños criminales, violencia contra personas), tasas de delitos no relacionados con disturbios.</w:t>
      </w:r>
    </w:p>
    <w:p w14:paraId="258D5985" w14:textId="77777777" w:rsidR="00750546" w:rsidRPr="00750546" w:rsidRDefault="00750546" w:rsidP="00750546">
      <w:pPr>
        <w:numPr>
          <w:ilvl w:val="0"/>
          <w:numId w:val="1"/>
        </w:numPr>
        <w:spacing w:before="120" w:after="120"/>
        <w:contextualSpacing/>
        <w:jc w:val="both"/>
        <w:rPr>
          <w:lang w:val="es-MX"/>
        </w:rPr>
      </w:pPr>
      <w:r w:rsidRPr="00750546">
        <w:rPr>
          <w:lang w:val="es-MX"/>
        </w:rPr>
        <w:lastRenderedPageBreak/>
        <w:t xml:space="preserve">De control: Efectos fijos de </w:t>
      </w:r>
      <w:r w:rsidRPr="00750546">
        <w:rPr>
          <w:i/>
          <w:iCs/>
          <w:lang w:val="es-MX"/>
        </w:rPr>
        <w:t xml:space="preserve">sub distritos </w:t>
      </w:r>
      <w:r w:rsidRPr="00750546">
        <w:rPr>
          <w:lang w:val="es-MX"/>
        </w:rPr>
        <w:t>y mes, horas de patrulla policial a nivel de municipio, características demográficas individuales en análisis de sentencias (edad, etnia, género, tipo de delito) (pp. 483-485).</w:t>
      </w:r>
    </w:p>
    <w:p w14:paraId="3AB00541" w14:textId="77777777" w:rsidR="00750546" w:rsidRPr="00750546" w:rsidRDefault="00750546" w:rsidP="00750546">
      <w:pPr>
        <w:spacing w:before="120" w:after="120"/>
        <w:jc w:val="both"/>
        <w:rPr>
          <w:lang w:val="es-MX"/>
        </w:rPr>
      </w:pPr>
      <w:r w:rsidRPr="00750546">
        <w:rPr>
          <w:lang w:val="es-MX"/>
        </w:rPr>
        <w:t>Los principales hallazgos de este estudio corresponden a: las sentencias relacionadas con disturbios fueron significativamente más severas (mayor probabilidad de prisión inmediata y penas más largas) que para delitos similares en el periodo previo. Durante los disturbios, los delitos de disturbio aumentaron un 57% en los sub distritos afectados, mientras que no hubo un aumento en otros tipos de delitos ni en las áreas no afectadas. En los seis meses posteriores, los delitos de disturbio disminuyeron significativamente en toda Londres (caída del 13.1% en áreas no afectadas), mientras que los delitos no relacionados con disturbios aumentaron (4.5%), sugiriendo desplazamiento funcional o posible cambio estratégico de los delincuentes hacia tipos de delitos con sanciones menos severas. No se encontró evidencia de desplazamiento espacial hacia áreas vecinas; de hecho, el crimen también disminuyó en zonas alejadas de los disturbios. El aumento del patrullaje policial no explica la reducción del crimen, ya que las horas de patrulla disminuyeron tras los disturbios, lo que sugiere que la reducción de la criminalidad no se debió principalmente a una mayor presencia policial.</w:t>
      </w:r>
    </w:p>
    <w:p w14:paraId="0DC66276" w14:textId="77777777" w:rsidR="00750546" w:rsidRPr="00750546" w:rsidRDefault="00750546" w:rsidP="00750546">
      <w:pPr>
        <w:spacing w:before="120" w:after="120"/>
        <w:jc w:val="both"/>
        <w:rPr>
          <w:lang w:val="es-MX"/>
        </w:rPr>
      </w:pPr>
      <w:r w:rsidRPr="00750546">
        <w:rPr>
          <w:lang w:val="es-MX"/>
        </w:rPr>
        <w:t>De esta forma, este trabajo proporciona evidencia empírica de disuasión general (no solo individual) en respuesta a un cambio repentino y visible en la severidad de las sanciones, contribuyendo a la literatura de economía del crimen y disuasión. También contribuye a la literatura sobre disturbios al analizar por primera vez los efectos inmediatos en patrones de crimen.</w:t>
      </w:r>
    </w:p>
    <w:p w14:paraId="0EBC0629" w14:textId="77777777" w:rsidR="00750546" w:rsidRPr="00750546" w:rsidRDefault="00750546" w:rsidP="00750546">
      <w:pPr>
        <w:spacing w:before="120" w:after="120"/>
        <w:jc w:val="both"/>
        <w:rPr>
          <w:lang w:val="es-MX"/>
        </w:rPr>
      </w:pPr>
      <w:r w:rsidRPr="00750546">
        <w:rPr>
          <w:b/>
          <w:bCs/>
          <w:lang w:val="es-MX"/>
        </w:rPr>
        <w:t xml:space="preserve">Mongale (2022) </w:t>
      </w:r>
      <w:r w:rsidRPr="00750546">
        <w:rPr>
          <w:lang w:val="es-MX"/>
        </w:rPr>
        <w:t xml:space="preserve">analiza la conexión entre el descontento social y las actividades criminales en los disturbios urbanos de julio de 2021 en las provincias sudafricanas de Gauteng y KwaZulu-Natal. Aunque el detonante fue el encarcelamiento del ex presidente Jacob Zuma, el estudio argumenta que causas subyacentes como la pobreza, el desempleo, la desigualdad, la pandemia de COVID-19 y las facciones </w:t>
      </w:r>
      <w:proofErr w:type="spellStart"/>
      <w:r w:rsidRPr="00750546">
        <w:rPr>
          <w:lang w:val="es-MX"/>
        </w:rPr>
        <w:t>intra-partidarias</w:t>
      </w:r>
      <w:proofErr w:type="spellEnd"/>
      <w:r w:rsidRPr="00750546">
        <w:rPr>
          <w:lang w:val="es-MX"/>
        </w:rPr>
        <w:t xml:space="preserve"> del ANC generaron un terreno fértil para la violencia.</w:t>
      </w:r>
    </w:p>
    <w:p w14:paraId="5E451CB3" w14:textId="77777777" w:rsidR="00750546" w:rsidRPr="00750546" w:rsidRDefault="00750546" w:rsidP="00750546">
      <w:pPr>
        <w:spacing w:before="120" w:after="120"/>
        <w:jc w:val="both"/>
        <w:rPr>
          <w:lang w:val="es-MX"/>
        </w:rPr>
      </w:pPr>
      <w:r w:rsidRPr="00750546">
        <w:rPr>
          <w:lang w:val="es-MX"/>
        </w:rPr>
        <w:t>El artículo se fundamenta en el marco teórico de la codicia (</w:t>
      </w:r>
      <w:proofErr w:type="spellStart"/>
      <w:r w:rsidRPr="00750546">
        <w:rPr>
          <w:lang w:val="es-MX"/>
        </w:rPr>
        <w:t>greed</w:t>
      </w:r>
      <w:proofErr w:type="spellEnd"/>
      <w:r w:rsidRPr="00750546">
        <w:rPr>
          <w:lang w:val="es-MX"/>
        </w:rPr>
        <w:t>) versus los agravios (</w:t>
      </w:r>
      <w:proofErr w:type="spellStart"/>
      <w:r w:rsidRPr="00750546">
        <w:rPr>
          <w:lang w:val="es-MX"/>
        </w:rPr>
        <w:t>grievances</w:t>
      </w:r>
      <w:proofErr w:type="spellEnd"/>
      <w:r w:rsidRPr="00750546">
        <w:rPr>
          <w:lang w:val="es-MX"/>
        </w:rPr>
        <w:t xml:space="preserve">) (Collier y Hoeffler, 1999) para explicar los conflictos civiles. La teoría de la codicia postula que los conflictos son impulsados por incentivos económicos y la oportunidad de lucrar. La teoría de los agravios sostiene que son las injusticias percibidas (privación relativa, desigualdad horizontal, tensiones identitarias) las que instigan la acción colectiva violenta. </w:t>
      </w:r>
    </w:p>
    <w:p w14:paraId="1C6AD5A6" w14:textId="77777777" w:rsidR="00750546" w:rsidRPr="00750546" w:rsidRDefault="00750546" w:rsidP="00750546">
      <w:pPr>
        <w:spacing w:before="120" w:after="120"/>
        <w:jc w:val="both"/>
        <w:rPr>
          <w:lang w:val="es-MX"/>
        </w:rPr>
      </w:pPr>
      <w:r w:rsidRPr="00750546">
        <w:rPr>
          <w:lang w:val="es-MX"/>
        </w:rPr>
        <w:t>Se conceptualizan la privación relativa como la disconformidad subjetiva al comparar la propia situación con la de otros, considerándose injustamente tratado; se vincula a la hipótesis de la curva J de Davies, que explica revoluciones tras un período de mejora seguido de una reversión abrupta de expectativas.</w:t>
      </w:r>
    </w:p>
    <w:p w14:paraId="4992F3E2" w14:textId="77777777" w:rsidR="00750546" w:rsidRPr="00750546" w:rsidRDefault="00750546" w:rsidP="00750546">
      <w:pPr>
        <w:spacing w:before="120" w:after="120"/>
        <w:jc w:val="both"/>
        <w:rPr>
          <w:lang w:val="es-MX"/>
        </w:rPr>
      </w:pPr>
      <w:r w:rsidRPr="00750546">
        <w:rPr>
          <w:lang w:val="es-MX"/>
        </w:rPr>
        <w:t>El artículo argumenta que en los disturbios de 2021, los agravios socioeconómicos preexistentes crearon las condiciones para que surgiera el comportamiento de codicia (saqueo) durante las protestas. Complementariamente, se utiliza la perspectiva de la seguridad humana para analizar el impacto de los disturbios en aspectos como la seguridad económica, alimentaria y personal de las personas, yendo más allá de la seguridad estatal tradicional.</w:t>
      </w:r>
    </w:p>
    <w:p w14:paraId="25A2EFE2" w14:textId="77777777" w:rsidR="00750546" w:rsidRPr="00750546" w:rsidRDefault="00750546" w:rsidP="00750546">
      <w:pPr>
        <w:spacing w:before="120" w:after="120"/>
        <w:jc w:val="both"/>
        <w:rPr>
          <w:lang w:val="es-MX"/>
        </w:rPr>
      </w:pPr>
      <w:r w:rsidRPr="00750546">
        <w:rPr>
          <w:lang w:val="es-MX"/>
        </w:rPr>
        <w:lastRenderedPageBreak/>
        <w:t>El estudio es cualitativo, descriptivo y exploratorio. Se basa en una evaluación de literatura cualitativa y un análisis de contenido de eventos y fuentes documentales. Se consideran factores de descontento/agravio (pobreza, desigualdad, desempleo, COVID-19, faccionalismo político). Estos son mediados por oportunidad para la acción colectiva y el crimen (organización, debilidad estatal momentánea), conduciendo a ocurrencia y naturaleza de los disturbios urbanos (violencia, saqueos) y sus consecuencias en seguridad humana (inseguridad económica, alimentaria, pérdida de vidas).</w:t>
      </w:r>
    </w:p>
    <w:p w14:paraId="76D96F37" w14:textId="77777777" w:rsidR="00750546" w:rsidRPr="00750546" w:rsidRDefault="00750546" w:rsidP="00750546">
      <w:pPr>
        <w:spacing w:before="120" w:after="120"/>
        <w:jc w:val="both"/>
        <w:rPr>
          <w:lang w:val="es-MX"/>
        </w:rPr>
      </w:pPr>
      <w:r w:rsidRPr="00750546">
        <w:rPr>
          <w:lang w:val="es-MX"/>
        </w:rPr>
        <w:t>Entre sus hallazgos, este estudio señala que:</w:t>
      </w:r>
    </w:p>
    <w:p w14:paraId="0E8C8114" w14:textId="77777777" w:rsidR="00750546" w:rsidRPr="00750546" w:rsidRDefault="00750546" w:rsidP="00750546">
      <w:pPr>
        <w:numPr>
          <w:ilvl w:val="0"/>
          <w:numId w:val="5"/>
        </w:numPr>
        <w:spacing w:before="120" w:after="120"/>
        <w:contextualSpacing/>
        <w:jc w:val="both"/>
        <w:rPr>
          <w:lang w:val="es-MX"/>
        </w:rPr>
      </w:pPr>
      <w:r w:rsidRPr="00750546">
        <w:rPr>
          <w:lang w:val="es-MX"/>
        </w:rPr>
        <w:t>Los disturbios urbanos de julio de 2021 en Sudáfrica, aunque iniciados bajo el pretexto de exigir la liberación de Jacob Zuma, derivaron en actividades criminales coordinadas como saqueos masivos, vandalismo e incendios premeditados.</w:t>
      </w:r>
    </w:p>
    <w:p w14:paraId="3F40858D" w14:textId="77777777" w:rsidR="00750546" w:rsidRPr="00750546" w:rsidRDefault="00750546" w:rsidP="00750546">
      <w:pPr>
        <w:numPr>
          <w:ilvl w:val="0"/>
          <w:numId w:val="5"/>
        </w:numPr>
        <w:spacing w:before="120" w:after="120"/>
        <w:contextualSpacing/>
        <w:jc w:val="both"/>
        <w:rPr>
          <w:lang w:val="es-MX"/>
        </w:rPr>
      </w:pPr>
      <w:r w:rsidRPr="00750546">
        <w:rPr>
          <w:lang w:val="es-MX"/>
        </w:rPr>
        <w:t>Las causas raíz del conflicto incluyen la desigualdad extrema, el alto desempleo juvenil, la pobreza y las tensiones internas del partido gobernante (faccionalismo del ANC), factores que fueron exacerbados por la pandemia de COVID-19.</w:t>
      </w:r>
    </w:p>
    <w:p w14:paraId="29504F49" w14:textId="77777777" w:rsidR="00750546" w:rsidRPr="00750546" w:rsidRDefault="00750546" w:rsidP="00750546">
      <w:pPr>
        <w:numPr>
          <w:ilvl w:val="0"/>
          <w:numId w:val="5"/>
        </w:numPr>
        <w:spacing w:before="120" w:after="120"/>
        <w:contextualSpacing/>
        <w:jc w:val="both"/>
        <w:rPr>
          <w:lang w:val="es-MX"/>
        </w:rPr>
      </w:pPr>
      <w:r w:rsidRPr="00750546">
        <w:rPr>
          <w:lang w:val="es-MX"/>
        </w:rPr>
        <w:t>Los disturbios resultaron en graves inseguridades humanas: profundización de la pobreza, escasez de alimentos y combustible, interrupción de servicios de salud (incluyendo la pérdida de 25.000 dosis de vacunas), la destrucción de negocios (valorada en ~50 mil millones de rand) y más de 300 muertes.</w:t>
      </w:r>
    </w:p>
    <w:p w14:paraId="08FE6DED" w14:textId="77777777" w:rsidR="00750546" w:rsidRPr="00750546" w:rsidRDefault="00750546" w:rsidP="00750546">
      <w:pPr>
        <w:numPr>
          <w:ilvl w:val="0"/>
          <w:numId w:val="5"/>
        </w:numPr>
        <w:spacing w:before="120" w:after="120"/>
        <w:contextualSpacing/>
        <w:jc w:val="both"/>
        <w:rPr>
          <w:lang w:val="es-MX"/>
        </w:rPr>
      </w:pPr>
      <w:r w:rsidRPr="00750546">
        <w:rPr>
          <w:lang w:val="es-MX"/>
        </w:rPr>
        <w:t>Se identifica una "estrategia de mafia" donde grupos organizados utilizan la violencia abierta para obtener concesiones del Estado y proteger redes de patronazgo político.</w:t>
      </w:r>
    </w:p>
    <w:p w14:paraId="23CBDEBD" w14:textId="77777777" w:rsidR="00750546" w:rsidRPr="00750546" w:rsidRDefault="00750546" w:rsidP="00750546">
      <w:pPr>
        <w:spacing w:before="120" w:after="120"/>
        <w:jc w:val="both"/>
        <w:rPr>
          <w:lang w:val="es-MX"/>
        </w:rPr>
      </w:pPr>
      <w:r w:rsidRPr="00750546">
        <w:rPr>
          <w:b/>
          <w:bCs/>
          <w:lang w:val="es-MX"/>
        </w:rPr>
        <w:t xml:space="preserve">Rosenfeld, Abt y López (2021) </w:t>
      </w:r>
      <w:r w:rsidRPr="00750546">
        <w:rPr>
          <w:lang w:val="es-MX"/>
        </w:rPr>
        <w:t>elaboran un informe que actualiza estudios previos que examinan los cambios en las tasas de diez delitos durante 2020 en 34 ciudades de EE.UU., con énfasis en el homicidio. Puntualizan acerca de la “</w:t>
      </w:r>
      <w:proofErr w:type="spellStart"/>
      <w:r w:rsidRPr="00750546">
        <w:rPr>
          <w:lang w:val="es-MX"/>
        </w:rPr>
        <w:t>despolicialización</w:t>
      </w:r>
      <w:proofErr w:type="spellEnd"/>
      <w:r w:rsidRPr="00750546">
        <w:rPr>
          <w:lang w:val="es-MX"/>
        </w:rPr>
        <w:t>” como la reducción de la aplicación proactiva de la ley por miedo de los agentes a ser escrutados, así como la deslegitimación, alejamiento de la comunidad de la policía por pérdida de confianza, lo que lleva a una menor cooperación y a más "justicia callejera". Estos conceptos se convierten en explicaciones plausibles sobre cómo las protestas tras la muerte de George Floyd pudieron contribuir al aumento de homicidios en el verano de 2020.</w:t>
      </w:r>
    </w:p>
    <w:p w14:paraId="5F2CB0A1" w14:textId="77777777" w:rsidR="00750546" w:rsidRPr="00750546" w:rsidRDefault="00750546" w:rsidP="00750546">
      <w:pPr>
        <w:spacing w:before="120" w:after="120"/>
        <w:jc w:val="both"/>
        <w:rPr>
          <w:lang w:val="es-MX"/>
        </w:rPr>
      </w:pPr>
      <w:r w:rsidRPr="00750546">
        <w:rPr>
          <w:lang w:val="es-MX"/>
        </w:rPr>
        <w:t>Se trata de un estudio que analiza series temporales de datos de incidentes criminales mensuales, obtenidos de los portales de datos abiertos de 34 ciudades de EE. UU. entre enero de 2017 y diciembre de 2020.</w:t>
      </w:r>
    </w:p>
    <w:p w14:paraId="508104A0" w14:textId="77777777" w:rsidR="00750546" w:rsidRPr="00750546" w:rsidRDefault="00750546" w:rsidP="00750546">
      <w:pPr>
        <w:spacing w:before="120" w:after="120"/>
        <w:jc w:val="both"/>
        <w:rPr>
          <w:lang w:val="es-MX"/>
        </w:rPr>
      </w:pPr>
      <w:r w:rsidRPr="00750546">
        <w:rPr>
          <w:lang w:val="es-MX"/>
        </w:rPr>
        <w:t xml:space="preserve">Sus principales variables comprenden: </w:t>
      </w:r>
    </w:p>
    <w:p w14:paraId="009B5CCC" w14:textId="77777777" w:rsidR="00750546" w:rsidRPr="00750546" w:rsidRDefault="00750546" w:rsidP="00750546">
      <w:pPr>
        <w:numPr>
          <w:ilvl w:val="0"/>
          <w:numId w:val="6"/>
        </w:numPr>
        <w:spacing w:before="120" w:after="120"/>
        <w:contextualSpacing/>
        <w:jc w:val="both"/>
        <w:rPr>
          <w:lang w:val="es-MX"/>
        </w:rPr>
      </w:pPr>
      <w:r w:rsidRPr="00750546">
        <w:rPr>
          <w:lang w:val="es-MX"/>
        </w:rPr>
        <w:t>Independientes: Declaración de emergencia por pandemia (marzo 2020), protestas sociales (a partir de mayo/junio 2020), tiempo pasado en el hogar (movilidad residencial), nivel de desventaja socioeconómica de la ciudad, tamaño de la población, porcentaje de residentes de 18-24 años.</w:t>
      </w:r>
    </w:p>
    <w:p w14:paraId="6343BC73" w14:textId="77777777" w:rsidR="00750546" w:rsidRPr="00750546" w:rsidRDefault="00750546" w:rsidP="00750546">
      <w:pPr>
        <w:numPr>
          <w:ilvl w:val="0"/>
          <w:numId w:val="6"/>
        </w:numPr>
        <w:spacing w:before="120" w:after="120"/>
        <w:contextualSpacing/>
        <w:jc w:val="both"/>
        <w:rPr>
          <w:lang w:val="es-MX"/>
        </w:rPr>
      </w:pPr>
      <w:r w:rsidRPr="00750546">
        <w:rPr>
          <w:lang w:val="es-MX"/>
        </w:rPr>
        <w:t>Dependientes: Tasas mensuales por 100,000 habitantes para 10 delitos: homicidio, agresión agravada, agresión con arma de fuego, violencia doméstica, robo, allanamiento de morada, allanamiento comercial, hurto, robo de vehículos y delitos de drogas.</w:t>
      </w:r>
    </w:p>
    <w:p w14:paraId="38A1666A" w14:textId="77777777" w:rsidR="00750546" w:rsidRPr="00750546" w:rsidRDefault="00750546" w:rsidP="00750546">
      <w:pPr>
        <w:numPr>
          <w:ilvl w:val="0"/>
          <w:numId w:val="6"/>
        </w:numPr>
        <w:spacing w:before="120" w:after="120"/>
        <w:contextualSpacing/>
        <w:jc w:val="both"/>
        <w:rPr>
          <w:lang w:val="es-MX"/>
        </w:rPr>
      </w:pPr>
      <w:r w:rsidRPr="00750546">
        <w:rPr>
          <w:lang w:val="es-MX"/>
        </w:rPr>
        <w:lastRenderedPageBreak/>
        <w:t>De control: Efectos fijos de mes y ciudad para capturar influencias no medidas; tasa de homicidio del mismo mes del año anterior (rezago de 12 meses) para controlar estacionalidad.</w:t>
      </w:r>
    </w:p>
    <w:p w14:paraId="22E2BF42" w14:textId="77777777" w:rsidR="00750546" w:rsidRPr="00750546" w:rsidRDefault="00750546" w:rsidP="00750546">
      <w:pPr>
        <w:spacing w:before="120" w:after="120"/>
        <w:jc w:val="both"/>
        <w:rPr>
          <w:lang w:val="es-MX"/>
        </w:rPr>
      </w:pPr>
      <w:r w:rsidRPr="00750546">
        <w:rPr>
          <w:lang w:val="es-MX"/>
        </w:rPr>
        <w:t>Sus principales hallazgos identifican que:</w:t>
      </w:r>
    </w:p>
    <w:p w14:paraId="6FD01D24" w14:textId="77777777" w:rsidR="00750546" w:rsidRPr="00750546" w:rsidRDefault="00750546" w:rsidP="00750546">
      <w:pPr>
        <w:numPr>
          <w:ilvl w:val="0"/>
          <w:numId w:val="7"/>
        </w:numPr>
        <w:spacing w:before="120" w:after="120"/>
        <w:contextualSpacing/>
        <w:jc w:val="both"/>
        <w:rPr>
          <w:lang w:val="es-MX"/>
        </w:rPr>
      </w:pPr>
      <w:r w:rsidRPr="00750546">
        <w:rPr>
          <w:lang w:val="es-MX"/>
        </w:rPr>
        <w:t>Se registró un aumento histórico y agudo del 30% en los homicidios durante el año 2020 en las 34 ciudades estadounidenses analizadas, con un incremento particularmente pronunciado (37%) entre junio y agosto, tras las protestas por George Floyd. Esto representó 1,268 muertes adicionales en comparación con 2019.</w:t>
      </w:r>
    </w:p>
    <w:p w14:paraId="1DFAE9F0" w14:textId="77777777" w:rsidR="00750546" w:rsidRPr="00750546" w:rsidRDefault="00750546" w:rsidP="00750546">
      <w:pPr>
        <w:numPr>
          <w:ilvl w:val="0"/>
          <w:numId w:val="7"/>
        </w:numPr>
        <w:spacing w:before="120" w:after="120"/>
        <w:contextualSpacing/>
        <w:jc w:val="both"/>
        <w:rPr>
          <w:lang w:val="es-MX"/>
        </w:rPr>
      </w:pPr>
      <w:r w:rsidRPr="00750546">
        <w:rPr>
          <w:lang w:val="es-MX"/>
        </w:rPr>
        <w:t>A pesar del incremento, las tasas absolutas de homicidio (11,4 por cada 100,000 habitantes) se mantuvieron por debajo de los máximos históricos de mediados de los 90 (19,4 en 1995).</w:t>
      </w:r>
    </w:p>
    <w:p w14:paraId="3DED5968" w14:textId="77777777" w:rsidR="00750546" w:rsidRPr="00750546" w:rsidRDefault="00750546" w:rsidP="00750546">
      <w:pPr>
        <w:numPr>
          <w:ilvl w:val="0"/>
          <w:numId w:val="7"/>
        </w:numPr>
        <w:spacing w:before="120" w:after="120"/>
        <w:contextualSpacing/>
        <w:jc w:val="both"/>
        <w:rPr>
          <w:lang w:val="es-MX"/>
        </w:rPr>
      </w:pPr>
      <w:r w:rsidRPr="00750546">
        <w:rPr>
          <w:lang w:val="es-MX"/>
        </w:rPr>
        <w:t>Otros delitos violentos como asaltos agravados (+6%) y asaltos con armas de fuego (+8%) también hubieron, mientras que los robos disminuyeron un 9%.</w:t>
      </w:r>
    </w:p>
    <w:p w14:paraId="558BAD9E" w14:textId="77777777" w:rsidR="00750546" w:rsidRPr="00750546" w:rsidRDefault="00750546" w:rsidP="00750546">
      <w:pPr>
        <w:numPr>
          <w:ilvl w:val="0"/>
          <w:numId w:val="7"/>
        </w:numPr>
        <w:spacing w:before="120" w:after="120"/>
        <w:contextualSpacing/>
        <w:jc w:val="both"/>
        <w:rPr>
          <w:lang w:val="es-MX"/>
        </w:rPr>
      </w:pPr>
      <w:r w:rsidRPr="00750546">
        <w:rPr>
          <w:lang w:val="es-MX"/>
        </w:rPr>
        <w:t>Los delitos contra la propiedad y por drogas cayeron significativamente: robos residenciales (-24%), hurtos (-16%) y ofensas por drogas (-30%).</w:t>
      </w:r>
    </w:p>
    <w:p w14:paraId="6A906122" w14:textId="77777777" w:rsidR="00750546" w:rsidRPr="00750546" w:rsidRDefault="00750546" w:rsidP="00750546">
      <w:pPr>
        <w:numPr>
          <w:ilvl w:val="0"/>
          <w:numId w:val="7"/>
        </w:numPr>
        <w:spacing w:before="120" w:after="120"/>
        <w:contextualSpacing/>
        <w:jc w:val="both"/>
        <w:rPr>
          <w:lang w:val="es-MX"/>
        </w:rPr>
      </w:pPr>
      <w:r w:rsidRPr="00750546">
        <w:rPr>
          <w:lang w:val="es-MX"/>
        </w:rPr>
        <w:t>El robo de vehículos fue la excepción en los delitos contra la propiedad, aumentando un 13%.</w:t>
      </w:r>
    </w:p>
    <w:p w14:paraId="3FEB5448" w14:textId="77777777" w:rsidR="00750546" w:rsidRPr="00750546" w:rsidRDefault="00750546" w:rsidP="00750546">
      <w:pPr>
        <w:numPr>
          <w:ilvl w:val="0"/>
          <w:numId w:val="7"/>
        </w:numPr>
        <w:spacing w:before="120" w:after="120"/>
        <w:contextualSpacing/>
        <w:jc w:val="both"/>
        <w:rPr>
          <w:lang w:val="es-MX"/>
        </w:rPr>
      </w:pPr>
      <w:r w:rsidRPr="00750546">
        <w:rPr>
          <w:lang w:val="es-MX"/>
        </w:rPr>
        <w:t>Se identificó un "quiebre estructural" en los datos de homicidios en junio de 2020, coincidiendo con el malestar social tras la muerte de George Floyd, aunque las tasas ya eran más altas que en 2019 desde principios de año.</w:t>
      </w:r>
    </w:p>
    <w:p w14:paraId="420D1C75" w14:textId="77777777" w:rsidR="00750546" w:rsidRPr="00750546" w:rsidRDefault="00750546" w:rsidP="00750546">
      <w:pPr>
        <w:spacing w:before="120" w:after="120"/>
        <w:jc w:val="both"/>
        <w:rPr>
          <w:lang w:val="es-MX"/>
        </w:rPr>
      </w:pPr>
      <w:r w:rsidRPr="00750546">
        <w:rPr>
          <w:lang w:val="es-MX"/>
        </w:rPr>
        <w:t>El estudio concluye que para reducir la violencia se requiere controlar la pandemia, restaurar la confianza en la policía y aplicar estrategias de intervención probadas.</w:t>
      </w:r>
    </w:p>
    <w:p w14:paraId="3FA59EA7" w14:textId="77777777" w:rsidR="00221CE3" w:rsidRDefault="00221CE3"/>
    <w:sectPr w:rsidR="00221C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EDC"/>
    <w:multiLevelType w:val="hybridMultilevel"/>
    <w:tmpl w:val="3028C0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85608"/>
    <w:multiLevelType w:val="hybridMultilevel"/>
    <w:tmpl w:val="68469B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80024C8"/>
    <w:multiLevelType w:val="hybridMultilevel"/>
    <w:tmpl w:val="8FFC3A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E9C0C0C"/>
    <w:multiLevelType w:val="hybridMultilevel"/>
    <w:tmpl w:val="B374F7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2C62CD1"/>
    <w:multiLevelType w:val="hybridMultilevel"/>
    <w:tmpl w:val="F2ECEB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5C06FC0"/>
    <w:multiLevelType w:val="hybridMultilevel"/>
    <w:tmpl w:val="D264EB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71910EA"/>
    <w:multiLevelType w:val="hybridMultilevel"/>
    <w:tmpl w:val="42DAF0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5F12355"/>
    <w:multiLevelType w:val="hybridMultilevel"/>
    <w:tmpl w:val="59A234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4A3267"/>
    <w:multiLevelType w:val="hybridMultilevel"/>
    <w:tmpl w:val="98A800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6D944FB"/>
    <w:multiLevelType w:val="hybridMultilevel"/>
    <w:tmpl w:val="3168F0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17999386">
    <w:abstractNumId w:val="1"/>
  </w:num>
  <w:num w:numId="2" w16cid:durableId="2024629454">
    <w:abstractNumId w:val="8"/>
  </w:num>
  <w:num w:numId="3" w16cid:durableId="547842537">
    <w:abstractNumId w:val="6"/>
  </w:num>
  <w:num w:numId="4" w16cid:durableId="507907061">
    <w:abstractNumId w:val="9"/>
  </w:num>
  <w:num w:numId="5" w16cid:durableId="627902559">
    <w:abstractNumId w:val="5"/>
  </w:num>
  <w:num w:numId="6" w16cid:durableId="1598515802">
    <w:abstractNumId w:val="4"/>
  </w:num>
  <w:num w:numId="7" w16cid:durableId="172915753">
    <w:abstractNumId w:val="0"/>
  </w:num>
  <w:num w:numId="8" w16cid:durableId="387341600">
    <w:abstractNumId w:val="3"/>
  </w:num>
  <w:num w:numId="9" w16cid:durableId="1549881627">
    <w:abstractNumId w:val="2"/>
  </w:num>
  <w:num w:numId="10" w16cid:durableId="78947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546"/>
    <w:rsid w:val="0001352A"/>
    <w:rsid w:val="00080DD8"/>
    <w:rsid w:val="00221CE3"/>
    <w:rsid w:val="003554C1"/>
    <w:rsid w:val="0071126F"/>
    <w:rsid w:val="00721C20"/>
    <w:rsid w:val="00750546"/>
    <w:rsid w:val="00882952"/>
    <w:rsid w:val="009115F9"/>
    <w:rsid w:val="009260F7"/>
    <w:rsid w:val="00B2743A"/>
    <w:rsid w:val="00D14388"/>
    <w:rsid w:val="00EC2505"/>
    <w:rsid w:val="00ED56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D08C"/>
  <w15:chartTrackingRefBased/>
  <w15:docId w15:val="{385F9776-4D7B-4AD3-8ED5-B3CADA1B7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0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0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05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05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05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05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05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05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05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05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05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05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05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05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05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05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05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0546"/>
    <w:rPr>
      <w:rFonts w:eastAsiaTheme="majorEastAsia" w:cstheme="majorBidi"/>
      <w:color w:val="272727" w:themeColor="text1" w:themeTint="D8"/>
    </w:rPr>
  </w:style>
  <w:style w:type="paragraph" w:styleId="Ttulo">
    <w:name w:val="Title"/>
    <w:basedOn w:val="Normal"/>
    <w:next w:val="Normal"/>
    <w:link w:val="TtuloCar"/>
    <w:uiPriority w:val="10"/>
    <w:qFormat/>
    <w:rsid w:val="00750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05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05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05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0546"/>
    <w:pPr>
      <w:spacing w:before="160"/>
      <w:jc w:val="center"/>
    </w:pPr>
    <w:rPr>
      <w:i/>
      <w:iCs/>
      <w:color w:val="404040" w:themeColor="text1" w:themeTint="BF"/>
    </w:rPr>
  </w:style>
  <w:style w:type="character" w:customStyle="1" w:styleId="CitaCar">
    <w:name w:val="Cita Car"/>
    <w:basedOn w:val="Fuentedeprrafopredeter"/>
    <w:link w:val="Cita"/>
    <w:uiPriority w:val="29"/>
    <w:rsid w:val="00750546"/>
    <w:rPr>
      <w:i/>
      <w:iCs/>
      <w:color w:val="404040" w:themeColor="text1" w:themeTint="BF"/>
    </w:rPr>
  </w:style>
  <w:style w:type="paragraph" w:styleId="Prrafodelista">
    <w:name w:val="List Paragraph"/>
    <w:basedOn w:val="Normal"/>
    <w:uiPriority w:val="34"/>
    <w:qFormat/>
    <w:rsid w:val="00750546"/>
    <w:pPr>
      <w:ind w:left="720"/>
      <w:contextualSpacing/>
    </w:pPr>
  </w:style>
  <w:style w:type="character" w:styleId="nfasisintenso">
    <w:name w:val="Intense Emphasis"/>
    <w:basedOn w:val="Fuentedeprrafopredeter"/>
    <w:uiPriority w:val="21"/>
    <w:qFormat/>
    <w:rsid w:val="00750546"/>
    <w:rPr>
      <w:i/>
      <w:iCs/>
      <w:color w:val="0F4761" w:themeColor="accent1" w:themeShade="BF"/>
    </w:rPr>
  </w:style>
  <w:style w:type="paragraph" w:styleId="Citadestacada">
    <w:name w:val="Intense Quote"/>
    <w:basedOn w:val="Normal"/>
    <w:next w:val="Normal"/>
    <w:link w:val="CitadestacadaCar"/>
    <w:uiPriority w:val="30"/>
    <w:qFormat/>
    <w:rsid w:val="00750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0546"/>
    <w:rPr>
      <w:i/>
      <w:iCs/>
      <w:color w:val="0F4761" w:themeColor="accent1" w:themeShade="BF"/>
    </w:rPr>
  </w:style>
  <w:style w:type="character" w:styleId="Referenciaintensa">
    <w:name w:val="Intense Reference"/>
    <w:basedOn w:val="Fuentedeprrafopredeter"/>
    <w:uiPriority w:val="32"/>
    <w:qFormat/>
    <w:rsid w:val="007505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4680</Words>
  <Characters>25744</Characters>
  <Application>Microsoft Office Word</Application>
  <DocSecurity>0</DocSecurity>
  <Lines>214</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Cares Molina</dc:creator>
  <cp:keywords/>
  <dc:description/>
  <cp:lastModifiedBy>Cristóbal Cares Molina</cp:lastModifiedBy>
  <cp:revision>1</cp:revision>
  <dcterms:created xsi:type="dcterms:W3CDTF">2026-03-17T01:17:00Z</dcterms:created>
  <dcterms:modified xsi:type="dcterms:W3CDTF">2026-03-17T01:20:00Z</dcterms:modified>
</cp:coreProperties>
</file>