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2B4F8FD" w14:textId="5D70F308" w:rsidR="00853CC8" w:rsidRPr="00853CC8" w:rsidRDefault="00853CC8" w:rsidP="00853CC8">
      <w:pPr>
        <w:jc w:val="center"/>
        <w:rPr>
          <w:b/>
          <w:bCs/>
          <w:lang w:val="es-MX"/>
        </w:rPr>
      </w:pPr>
      <w:r w:rsidRPr="00853CC8">
        <w:rPr>
          <w:b/>
          <w:bCs/>
          <w:lang w:val="es-MX"/>
        </w:rPr>
        <w:t>Soporte argumentativo final</w:t>
      </w:r>
    </w:p>
    <w:p w14:paraId="412CB9B2" w14:textId="2395539A" w:rsidR="00853CC8" w:rsidRDefault="00853CC8" w:rsidP="00853CC8">
      <w:pPr>
        <w:jc w:val="both"/>
      </w:pPr>
      <w:r>
        <w:rPr>
          <w:b/>
          <w:bCs/>
          <w:lang w:val="es-MX"/>
        </w:rPr>
        <w:t xml:space="preserve">Soares y Naritomi (2010) </w:t>
      </w:r>
      <w:r w:rsidRPr="003C131B">
        <w:rPr>
          <w:lang w:val="es-MX"/>
        </w:rPr>
        <w:t>analiza las altas tasas de crimen en América Latina, argumentando que representan una pérdida de bienestar significativa y un obstáculo para el desarrollo</w:t>
      </w:r>
      <w:r>
        <w:rPr>
          <w:lang w:val="es-MX"/>
        </w:rPr>
        <w:t xml:space="preserve">. </w:t>
      </w:r>
      <w:r w:rsidRPr="003C131B">
        <w:t>El artículo se fundamenta en la teoría económica del crimen, basada en el modelo de elección racional (Becker, 1968; Stigler, 1970). Desde esta perspectiva, los individuos deciden participar en actividades criminales evaluando los costos y beneficios, respondiendo a incentivos económicos similares a los trabajadores legales. El atractivo de las actividades criminales está relacionado con variables como la distribución del ingreso, el desarrollo institucional, la efectividad gubernamental y la composición demográfica de la población.</w:t>
      </w:r>
    </w:p>
    <w:p w14:paraId="6BDCC504" w14:textId="77777777" w:rsidR="00853CC8" w:rsidRDefault="00853CC8" w:rsidP="00853CC8">
      <w:pPr>
        <w:jc w:val="both"/>
      </w:pPr>
      <w:r>
        <w:t>Se conceptualizan el c</w:t>
      </w:r>
      <w:r w:rsidRPr="00CB1B30">
        <w:t>rimen económicamente motivado: Actos criminales que resultan de un análisis costo-beneficio por parte del perpetrador, excluyendo actos aleatorios o violencia intrafamiliar.</w:t>
      </w:r>
      <w:r>
        <w:t xml:space="preserve"> Los c</w:t>
      </w:r>
      <w:r w:rsidRPr="00CB1B30">
        <w:t>ostos del crimen: Incluyen pérdidas de bienestar por mortalidad, costos materiales, gastos en seguridad y justicia, y pérdidas de capital humano y productividad.</w:t>
      </w:r>
      <w:r>
        <w:t xml:space="preserve"> </w:t>
      </w:r>
    </w:p>
    <w:p w14:paraId="0F7F251D" w14:textId="77777777" w:rsidR="00853CC8" w:rsidRDefault="00853CC8" w:rsidP="00853CC8">
      <w:pPr>
        <w:jc w:val="both"/>
      </w:pPr>
      <w:r>
        <w:t xml:space="preserve">Se trata de un investigación de diseño empírico, </w:t>
      </w:r>
      <w:r w:rsidRPr="008B7D5A">
        <w:t>que combina revisión de literatura, análisis descriptivo de datos secundarios y ejercicios contrafactuales basados en estimaciones de la literatura.</w:t>
      </w:r>
      <w:r>
        <w:t xml:space="preserve"> Se utilizaron datos de homicidios para países de América Latina (Argentina, Brasil, Chile, Colombia, Costa Rica, México, Venezuela) y países de referencia (Japón, Corea del Sur, Rusia, España, Suecia, Estados Unidos), desde 1979 hasta 2006. Además, datos de encuestas de victimización (ICVS) y registros oficiales (UNCS) para comparaciones internacionales de tasas de crimen y tasas de reporte.</w:t>
      </w:r>
    </w:p>
    <w:p w14:paraId="1BBF8A5A" w14:textId="77777777" w:rsidR="00853CC8" w:rsidRDefault="00853CC8" w:rsidP="00853CC8">
      <w:pPr>
        <w:jc w:val="both"/>
      </w:pPr>
      <w:r>
        <w:t>Las variables corresponden a:</w:t>
      </w:r>
    </w:p>
    <w:p w14:paraId="1E2B56BE" w14:textId="77777777" w:rsidR="00853CC8" w:rsidRDefault="00853CC8" w:rsidP="00853CC8">
      <w:pPr>
        <w:pStyle w:val="Prrafodelista"/>
        <w:numPr>
          <w:ilvl w:val="0"/>
          <w:numId w:val="1"/>
        </w:numPr>
        <w:jc w:val="both"/>
      </w:pPr>
      <w:r>
        <w:t>Independientes: Desigualdad (índice Gini), crecimiento del PIB per cápita, fracción de población joven (15-29 años), tasa de encarcelamiento, número de policías per cápita, estado de derecho.</w:t>
      </w:r>
    </w:p>
    <w:p w14:paraId="7FAB8BC4" w14:textId="77777777" w:rsidR="00853CC8" w:rsidRDefault="00853CC8" w:rsidP="00853CC8">
      <w:pPr>
        <w:pStyle w:val="Prrafodelista"/>
        <w:numPr>
          <w:ilvl w:val="0"/>
          <w:numId w:val="1"/>
        </w:numPr>
        <w:jc w:val="both"/>
      </w:pPr>
      <w:r>
        <w:t>Dependientes: Tasa de homicidios (por 100,000 habitantes), tasas de otros crímenes (robos, burglary, crímenes de contacto).</w:t>
      </w:r>
    </w:p>
    <w:p w14:paraId="731DC8C0" w14:textId="77777777" w:rsidR="00853CC8" w:rsidRDefault="00853CC8" w:rsidP="00853CC8">
      <w:pPr>
        <w:pStyle w:val="Prrafodelista"/>
        <w:numPr>
          <w:ilvl w:val="0"/>
          <w:numId w:val="1"/>
        </w:numPr>
        <w:jc w:val="both"/>
      </w:pPr>
      <w:r>
        <w:t>De control: Factores institucionales (estabilidad democrática, corrupción), grado de urbanización, nivel educativo.</w:t>
      </w:r>
    </w:p>
    <w:p w14:paraId="58AB52FA" w14:textId="77777777" w:rsidR="00853CC8" w:rsidRDefault="00853CC8" w:rsidP="00853CC8">
      <w:pPr>
        <w:jc w:val="both"/>
      </w:pPr>
      <w:r>
        <w:t>Los principales hallazgos señalan que:</w:t>
      </w:r>
    </w:p>
    <w:p w14:paraId="3F9B29F2" w14:textId="77777777" w:rsidR="00853CC8" w:rsidRDefault="00853CC8" w:rsidP="00853CC8">
      <w:pPr>
        <w:pStyle w:val="Prrafodelista"/>
        <w:numPr>
          <w:ilvl w:val="0"/>
          <w:numId w:val="1"/>
        </w:numPr>
        <w:jc w:val="both"/>
      </w:pPr>
      <w:r w:rsidRPr="008B7D5A">
        <w:t>América Latina tiene tasas de crimen excepcionalmente altas en comparación con otras regiones</w:t>
      </w:r>
      <w:r>
        <w:t xml:space="preserve">. Particularmente para las </w:t>
      </w:r>
      <w:r w:rsidRPr="008B7D5A">
        <w:t>tasas de mortalidad por violencia</w:t>
      </w:r>
      <w:r>
        <w:t xml:space="preserve">, estas superan </w:t>
      </w:r>
      <w:r w:rsidRPr="008B7D5A">
        <w:t>en un 200% a América del Norte y en un 450% a Europa Occidental.</w:t>
      </w:r>
    </w:p>
    <w:p w14:paraId="3EA4FCAF" w14:textId="77777777" w:rsidR="00853CC8" w:rsidRDefault="00853CC8" w:rsidP="00853CC8">
      <w:pPr>
        <w:pStyle w:val="Prrafodelista"/>
        <w:numPr>
          <w:ilvl w:val="0"/>
          <w:numId w:val="1"/>
        </w:numPr>
        <w:jc w:val="both"/>
      </w:pPr>
      <w:r w:rsidRPr="008B7D5A">
        <w:t>A pesar de que los niveles de violencia parecen excesivos, los autores argumentan que la incidencia del crimen en la región es consistente con sus características socioeconómicas y de política pública.</w:t>
      </w:r>
      <w:r>
        <w:t xml:space="preserve"> </w:t>
      </w:r>
    </w:p>
    <w:p w14:paraId="5A7EA242" w14:textId="77777777" w:rsidR="00853CC8" w:rsidRDefault="00853CC8" w:rsidP="00853CC8">
      <w:pPr>
        <w:pStyle w:val="Prrafodelista"/>
        <w:numPr>
          <w:ilvl w:val="0"/>
          <w:numId w:val="1"/>
        </w:numPr>
        <w:jc w:val="both"/>
      </w:pPr>
      <w:r w:rsidRPr="008B7D5A">
        <w:t>La mayor parte de la brecha de violencia entre América Latina y el resto del mundo se explica por tres factores clave: alta desigualdad de ingresos, bajas tasas de encarcelamiento y fuerzas policiales reducidas.</w:t>
      </w:r>
    </w:p>
    <w:p w14:paraId="4723B244" w14:textId="77777777" w:rsidR="00853CC8" w:rsidRDefault="00853CC8" w:rsidP="00853CC8">
      <w:pPr>
        <w:pStyle w:val="Prrafodelista"/>
        <w:numPr>
          <w:ilvl w:val="0"/>
          <w:numId w:val="1"/>
        </w:numPr>
        <w:jc w:val="both"/>
      </w:pPr>
      <w:r w:rsidRPr="00CB7702">
        <w:t>El crimen representa una pérdida significativa de bienestar, reduciendo la esperanza de vida al nacer en más de un año en sociedades violentas (llegando a más de dos años en casos como Colombia en los años 90)</w:t>
      </w:r>
      <w:r>
        <w:t xml:space="preserve">. </w:t>
      </w:r>
    </w:p>
    <w:p w14:paraId="3F7AB0F2" w14:textId="77777777" w:rsidR="00853CC8" w:rsidRDefault="00853CC8" w:rsidP="00853CC8">
      <w:pPr>
        <w:pStyle w:val="Prrafodelista"/>
        <w:numPr>
          <w:ilvl w:val="0"/>
          <w:numId w:val="1"/>
        </w:numPr>
        <w:jc w:val="both"/>
      </w:pPr>
      <w:r w:rsidRPr="00CB7702">
        <w:lastRenderedPageBreak/>
        <w:t>Se identifica que el crimen afecta negativamente el crecimiento económico a través de la pérdida de capital humano y la reducción del horizonte de planificación para las inversiones físicas y humanas.</w:t>
      </w:r>
    </w:p>
    <w:p w14:paraId="60E31060" w14:textId="77777777" w:rsidR="00853CC8" w:rsidRDefault="00853CC8" w:rsidP="00853CC8">
      <w:pPr>
        <w:pStyle w:val="Prrafodelista"/>
        <w:numPr>
          <w:ilvl w:val="0"/>
          <w:numId w:val="1"/>
        </w:numPr>
        <w:jc w:val="both"/>
      </w:pPr>
      <w:r w:rsidRPr="00CB7702">
        <w:t>Ejercicios contrafactuales indican que si América Latina tuviera los niveles de desigualdad, encarcelamiento y policía de los países de referencia, sus tasas de homicidio caerían entre 50% y 66%.</w:t>
      </w:r>
    </w:p>
    <w:p w14:paraId="01F81243" w14:textId="7D3AF3AD" w:rsidR="00853CC8" w:rsidRDefault="00853CC8" w:rsidP="00853CC8">
      <w:pPr>
        <w:pStyle w:val="Prrafodelista"/>
        <w:numPr>
          <w:ilvl w:val="0"/>
          <w:numId w:val="1"/>
        </w:numPr>
        <w:jc w:val="both"/>
      </w:pPr>
      <w:r w:rsidRPr="00CB7702">
        <w:t>Experiencias exitosas en Bogotá (Colombia) y São Paulo (Brasil) muestran reducciones drásticas en homicidios mediante la combinación de políticas represivas más efectivas (mejor policía, control de alcohol) y programas sociales.</w:t>
      </w:r>
    </w:p>
    <w:p w14:paraId="59A33E3D" w14:textId="67399E60" w:rsidR="0085040D" w:rsidRDefault="0085040D" w:rsidP="0085040D">
      <w:pPr>
        <w:jc w:val="both"/>
      </w:pPr>
      <w:r w:rsidRPr="0085040D">
        <w:rPr>
          <w:b/>
          <w:bCs/>
          <w:lang w:val="en-US"/>
        </w:rPr>
        <w:t>Soares, R. R. &amp; Naritomi, J. (2010)</w:t>
      </w:r>
      <w:r w:rsidRPr="0085040D">
        <w:rPr>
          <w:lang w:val="en-US"/>
        </w:rPr>
        <w:t> </w:t>
      </w:r>
      <w:r w:rsidRPr="0085040D">
        <w:rPr>
          <w:i/>
          <w:iCs/>
          <w:lang w:val="en-US"/>
        </w:rPr>
        <w:t>"Understanding high crime rates in Latin America: The role of social and policy factors"</w:t>
      </w:r>
      <w:r w:rsidRPr="0085040D">
        <w:rPr>
          <w:lang w:val="en-US"/>
        </w:rPr>
        <w:t> En: Di Tella, R., Edwards, S. &amp; Schargrodsky, E. (Eds.) — </w:t>
      </w:r>
      <w:r w:rsidRPr="0085040D">
        <w:rPr>
          <w:i/>
          <w:iCs/>
          <w:lang w:val="en-US"/>
        </w:rPr>
        <w:t>The Economics of Crime: Lessons for and from Latin America</w:t>
      </w:r>
      <w:r w:rsidRPr="0085040D">
        <w:rPr>
          <w:lang w:val="en-US"/>
        </w:rPr>
        <w:t xml:space="preserve">. </w:t>
      </w:r>
      <w:r w:rsidRPr="0085040D">
        <w:t>University of Chicago Press / NBER. → Contexto comparativo regional para América Latina. Justificaría por qué los mecanismos teóricos probados en países del norte son aplicables al contexto chileno.</w:t>
      </w:r>
    </w:p>
    <w:p w14:paraId="090463D9" w14:textId="77777777" w:rsidR="00853CC8" w:rsidRDefault="00853CC8" w:rsidP="00853CC8">
      <w:pPr>
        <w:jc w:val="both"/>
      </w:pPr>
      <w:r>
        <w:rPr>
          <w:b/>
          <w:bCs/>
        </w:rPr>
        <w:t>Farrell et al. (2011)</w:t>
      </w:r>
      <w:r w:rsidRPr="008D5F50">
        <w:t xml:space="preserve"> propone que la mejora en la cantidad y calidad de la seguridad fue un factor clave en la caída del crimen experimentada en muchos países industrializados desde los años 90.</w:t>
      </w:r>
      <w:r>
        <w:t xml:space="preserve"> Su análisis se sustenta en la </w:t>
      </w:r>
      <w:r w:rsidRPr="00C1057C">
        <w:t>teoría de la actividad rutinaria y la teoría de la oportunidad delictiva. Se argumenta que los cambios en la seguridad (aumentando el esfuerzo y riesgo, y reduciendo la recompensa para el infractor) alteran las oportunidades para cometer delitos, lo que explica las tendencias criminológicas.</w:t>
      </w:r>
    </w:p>
    <w:p w14:paraId="087721F9" w14:textId="77777777" w:rsidR="00853CC8" w:rsidRDefault="00853CC8" w:rsidP="00853CC8">
      <w:pPr>
        <w:jc w:val="both"/>
      </w:pPr>
      <w:r>
        <w:t xml:space="preserve">Los autores articulan diferentes hipótesis que argumentan que </w:t>
      </w:r>
      <w:r w:rsidRPr="00C1057C">
        <w:t>la seguridad reduce oportunidades, afectando la iniciación y propagación de otros delitos dentro de un marco de actividad rutinaria</w:t>
      </w:r>
      <w:r>
        <w:t xml:space="preserve">: </w:t>
      </w:r>
    </w:p>
    <w:p w14:paraId="5D5F1264" w14:textId="77777777" w:rsidR="00853CC8" w:rsidRDefault="00853CC8" w:rsidP="00853CC8">
      <w:pPr>
        <w:pStyle w:val="Prrafodelista"/>
        <w:numPr>
          <w:ilvl w:val="0"/>
          <w:numId w:val="1"/>
        </w:numPr>
        <w:jc w:val="both"/>
      </w:pPr>
      <w:r w:rsidRPr="00C1057C">
        <w:t>La "Hipótesis de la seguridad" propone que la inversión masiva en seguridad</w:t>
      </w:r>
      <w:r>
        <w:t>, en términos de cantidad y calidad,</w:t>
      </w:r>
      <w:r w:rsidRPr="00C1057C">
        <w:t xml:space="preserve"> causó la caída del crimen</w:t>
      </w:r>
      <w:r>
        <w:t xml:space="preserve">. </w:t>
      </w:r>
    </w:p>
    <w:p w14:paraId="2351645D" w14:textId="77777777" w:rsidR="00853CC8" w:rsidRDefault="00853CC8" w:rsidP="00853CC8">
      <w:pPr>
        <w:pStyle w:val="Prrafodelista"/>
        <w:numPr>
          <w:ilvl w:val="0"/>
          <w:numId w:val="1"/>
        </w:numPr>
        <w:jc w:val="both"/>
      </w:pPr>
      <w:r w:rsidRPr="00C1057C">
        <w:t xml:space="preserve">La "Hipótesis del delito debut" sugiere que </w:t>
      </w:r>
      <w:r w:rsidRPr="00D4644D">
        <w:t>al dificultar los delitos que suelen marcar el inicio de una carrera criminal, se previene la escalada hacia delitos más graves</w:t>
      </w:r>
      <w:r>
        <w:t>,</w:t>
      </w:r>
      <w:r w:rsidRPr="00C1057C">
        <w:t xml:space="preserve"> trunca</w:t>
      </w:r>
      <w:r>
        <w:t xml:space="preserve">ndo </w:t>
      </w:r>
      <w:r w:rsidRPr="00C1057C">
        <w:t>carreras delictivas</w:t>
      </w:r>
      <w:r>
        <w:t xml:space="preserve">. </w:t>
      </w:r>
    </w:p>
    <w:p w14:paraId="04841C0E" w14:textId="77777777" w:rsidR="00853CC8" w:rsidRDefault="00853CC8" w:rsidP="00853CC8">
      <w:pPr>
        <w:pStyle w:val="Prrafodelista"/>
        <w:numPr>
          <w:ilvl w:val="0"/>
          <w:numId w:val="1"/>
        </w:numPr>
        <w:jc w:val="both"/>
      </w:pPr>
      <w:r w:rsidRPr="00C1057C">
        <w:t xml:space="preserve">La "Hipótesis del delito clave" postula </w:t>
      </w:r>
      <w:r w:rsidRPr="00D4644D">
        <w:t>que la reducción de ciertos delitos base (como el robo de autos) induce caídas en otras categorías criminales, incluyendo la violencia, al eliminar medios de transporte o facilitadores para otros crímenes</w:t>
      </w:r>
      <w:r w:rsidRPr="00C1057C">
        <w:t>, por lo que su prevención tiene efectos en cadena</w:t>
      </w:r>
      <w:r>
        <w:t>.</w:t>
      </w:r>
    </w:p>
    <w:p w14:paraId="5B34F783" w14:textId="77777777" w:rsidR="00853CC8" w:rsidRDefault="00853CC8" w:rsidP="00853CC8">
      <w:pPr>
        <w:jc w:val="both"/>
      </w:pPr>
      <w:r>
        <w:t xml:space="preserve">El diseño de esta investigación corresponde a un estudio de casos múltiples (Inglaterra, Gales y Australia), </w:t>
      </w:r>
      <w:r w:rsidRPr="00C1057C">
        <w:t>con triangulación de métodos y datos para analizar tendencias de robo de vehículos.</w:t>
      </w:r>
      <w:r>
        <w:t xml:space="preserve"> </w:t>
      </w:r>
      <w:r w:rsidRPr="00C1057C">
        <w:t>Para Inglaterra y Gales: datos de la British Crime Survey (encuesta nacional representativa, 1982 en adelante) y datos policiales. Para Australia: datos del sistema CARS (Comprehensive Autotheft Research System) con registros policiales de todos los estados desde 2000 (y de South Australia desde 1997)</w:t>
      </w:r>
      <w:r>
        <w:t>.</w:t>
      </w:r>
    </w:p>
    <w:p w14:paraId="1A083FCC" w14:textId="77777777" w:rsidR="00853CC8" w:rsidRDefault="00853CC8" w:rsidP="00853CC8">
      <w:pPr>
        <w:jc w:val="both"/>
      </w:pPr>
      <w:r>
        <w:t>Las variables consideradas corresponden a:</w:t>
      </w:r>
    </w:p>
    <w:p w14:paraId="49843B77" w14:textId="77777777" w:rsidR="00853CC8" w:rsidRDefault="00853CC8" w:rsidP="00853CC8">
      <w:pPr>
        <w:pStyle w:val="Prrafodelista"/>
        <w:numPr>
          <w:ilvl w:val="0"/>
          <w:numId w:val="2"/>
        </w:numPr>
        <w:jc w:val="both"/>
      </w:pPr>
      <w:r>
        <w:t>Independientes: Implementación, tipo y calidad de dispositivos de seguridad vehicular (inmovilizadores electrónicos/mecánicos, alarmas, cierre centralizado).</w:t>
      </w:r>
    </w:p>
    <w:p w14:paraId="70EA3392" w14:textId="77777777" w:rsidR="00853CC8" w:rsidRPr="008D5F50" w:rsidRDefault="00853CC8" w:rsidP="00853CC8">
      <w:pPr>
        <w:pStyle w:val="Prrafodelista"/>
        <w:numPr>
          <w:ilvl w:val="0"/>
          <w:numId w:val="2"/>
        </w:numPr>
        <w:jc w:val="both"/>
      </w:pPr>
      <w:r>
        <w:t>Dependientes: Tasas de robo de vehículos (total, temporal/recuperado, permanente/no recuperado); método de entrada; edad de los vehículos robados.</w:t>
      </w:r>
    </w:p>
    <w:p w14:paraId="63C96518" w14:textId="77777777" w:rsidR="00853CC8" w:rsidRDefault="00853CC8" w:rsidP="00853CC8">
      <w:pPr>
        <w:jc w:val="both"/>
      </w:pPr>
      <w:r>
        <w:lastRenderedPageBreak/>
        <w:t>Los principales hallazgos enfatizan en la e</w:t>
      </w:r>
      <w:r w:rsidRPr="0067649E">
        <w:t>fectividad de la tecnología preventiva</w:t>
      </w:r>
      <w:r>
        <w:t>, donde los autores s</w:t>
      </w:r>
      <w:r w:rsidRPr="0067649E">
        <w:t>ostiene</w:t>
      </w:r>
      <w:r>
        <w:t>n</w:t>
      </w:r>
      <w:r w:rsidRPr="0067649E">
        <w:t xml:space="preserve"> que las mejoras técnicas en la seguridad (como los inmovilizadores electrónicos y el cierre centralizado en vehículos) hicieron que el delito fuera significativamente más difícil, arriesgado y menos gratificante para los delincuentes.</w:t>
      </w:r>
      <w:r>
        <w:t xml:space="preserve"> Esto se refleja en:</w:t>
      </w:r>
    </w:p>
    <w:p w14:paraId="403829B4" w14:textId="77777777" w:rsidR="00853CC8" w:rsidRDefault="00853CC8" w:rsidP="00853CC8">
      <w:pPr>
        <w:pStyle w:val="Prrafodelista"/>
        <w:numPr>
          <w:ilvl w:val="0"/>
          <w:numId w:val="3"/>
        </w:numPr>
        <w:jc w:val="both"/>
      </w:pPr>
      <w:r w:rsidRPr="0067649E">
        <w:t>La caída del robo de vehículos coincide con la difusión de inmovilizadores electrónicos y cierre centralizado</w:t>
      </w:r>
    </w:p>
    <w:p w14:paraId="45A4AC04" w14:textId="77777777" w:rsidR="00853CC8" w:rsidRDefault="00853CC8" w:rsidP="00853CC8">
      <w:pPr>
        <w:pStyle w:val="Prrafodelista"/>
        <w:numPr>
          <w:ilvl w:val="0"/>
          <w:numId w:val="3"/>
        </w:numPr>
        <w:jc w:val="both"/>
      </w:pPr>
      <w:r w:rsidRPr="0067649E">
        <w:t>Los robos temporales (para uso inmediato) disminuyeron más que los permanentes</w:t>
      </w:r>
    </w:p>
    <w:p w14:paraId="5967F62F" w14:textId="77777777" w:rsidR="00853CC8" w:rsidRDefault="00853CC8" w:rsidP="00853CC8">
      <w:pPr>
        <w:pStyle w:val="Prrafodelista"/>
        <w:numPr>
          <w:ilvl w:val="0"/>
          <w:numId w:val="3"/>
        </w:numPr>
        <w:jc w:val="both"/>
      </w:pPr>
      <w:r w:rsidRPr="0067649E">
        <w:t>Aumentó la edad media de los vehículos robados</w:t>
      </w:r>
    </w:p>
    <w:p w14:paraId="045C5606" w14:textId="77777777" w:rsidR="00853CC8" w:rsidRDefault="00853CC8" w:rsidP="00853CC8">
      <w:pPr>
        <w:pStyle w:val="Prrafodelista"/>
        <w:numPr>
          <w:ilvl w:val="0"/>
          <w:numId w:val="3"/>
        </w:numPr>
        <w:jc w:val="both"/>
      </w:pPr>
      <w:r w:rsidRPr="0067649E">
        <w:t>Disminuyó el forzado de cerraduras como método de entrada, con un relativo aumento de la rotura de ventanas</w:t>
      </w:r>
    </w:p>
    <w:p w14:paraId="655CDBB3" w14:textId="77777777" w:rsidR="00853CC8" w:rsidRDefault="00853CC8" w:rsidP="00853CC8">
      <w:pPr>
        <w:pStyle w:val="Prrafodelista"/>
        <w:numPr>
          <w:ilvl w:val="0"/>
          <w:numId w:val="3"/>
        </w:numPr>
        <w:jc w:val="both"/>
      </w:pPr>
      <w:r w:rsidRPr="0067649E">
        <w:t>Los dispositivos con mayor efecto protector fueron los localizadores (tracking devices) y los inmovilizadores electrónico</w:t>
      </w:r>
      <w:r>
        <w:t>s</w:t>
      </w:r>
    </w:p>
    <w:p w14:paraId="366552B8" w14:textId="77777777" w:rsidR="00853CC8" w:rsidRDefault="00853CC8" w:rsidP="00853CC8">
      <w:pPr>
        <w:pStyle w:val="Prrafodelista"/>
        <w:numPr>
          <w:ilvl w:val="0"/>
          <w:numId w:val="3"/>
        </w:numPr>
        <w:jc w:val="both"/>
      </w:pPr>
      <w:r w:rsidRPr="0067649E">
        <w:t>El caso de Australia Occidental sugiere una relación causal entre la obligatoriedad de los inmovilizadores y la caída del robo</w:t>
      </w:r>
    </w:p>
    <w:p w14:paraId="68233DE0" w14:textId="41258181" w:rsidR="00853CC8" w:rsidRDefault="00853CC8" w:rsidP="00853CC8">
      <w:pPr>
        <w:jc w:val="both"/>
      </w:pPr>
      <w:r w:rsidRPr="00D622DA">
        <w:t>El estudio concluye que los cambios en la cantidad y calidad de la seguridad fueron los motores clave del descenso delictivo, sugiriendo que la tecnología preventiva tuvo un impacto mayor que factores demográficos o económicos.</w:t>
      </w:r>
    </w:p>
    <w:p w14:paraId="56E5FD8A" w14:textId="2A831389" w:rsidR="0085040D" w:rsidRDefault="0085040D" w:rsidP="00853CC8">
      <w:pPr>
        <w:jc w:val="both"/>
      </w:pPr>
      <w:r w:rsidRPr="0085040D">
        <w:rPr>
          <w:b/>
          <w:bCs/>
          <w:lang w:val="en-US"/>
        </w:rPr>
        <w:t>Farrell, G., Tseloni, A., Maisey, J. &amp; Tilley, N. (2011)</w:t>
      </w:r>
      <w:r w:rsidRPr="0085040D">
        <w:rPr>
          <w:lang w:val="en-US"/>
        </w:rPr>
        <w:t> </w:t>
      </w:r>
      <w:r w:rsidRPr="0085040D">
        <w:rPr>
          <w:i/>
          <w:iCs/>
          <w:lang w:val="en-US"/>
        </w:rPr>
        <w:t>"The crime drop and the security hypothesis"</w:t>
      </w:r>
      <w:r w:rsidRPr="0085040D">
        <w:rPr>
          <w:lang w:val="en-US"/>
        </w:rPr>
        <w:t xml:space="preserve"> Journal of Research in Crime and Delinquency, 48(2), 147–175. </w:t>
      </w:r>
      <w:r w:rsidRPr="0085040D">
        <w:t>→ Muestra el declive diferencial de distintos tipos de propiedad según la dureza de la seguridad del objetivo. Soportaría el argumento de contracción estructural de hurtos/robos sin contacto por endurecimiento del entorno (alarmas, comercio digital). Es el paper seminario del "security hypothesis" para el crime drop.</w:t>
      </w:r>
    </w:p>
    <w:p w14:paraId="2B099CD5" w14:textId="77777777" w:rsidR="00853CC8" w:rsidRDefault="00853CC8" w:rsidP="00853CC8">
      <w:pPr>
        <w:jc w:val="both"/>
      </w:pPr>
      <w:r>
        <w:rPr>
          <w:b/>
          <w:bCs/>
        </w:rPr>
        <w:t xml:space="preserve">Campedelli et al. (2020) </w:t>
      </w:r>
      <w:r w:rsidRPr="00634533">
        <w:t>analizan el impacto de las políticas de contención de la COVID-19 (distanciamiento social y confinamiento) en las tendencias delictivas a nivel comunitario en Chicago, utilizando datos diarios de 77 comunidades para cuatro categorías de delitos (allanamiento, agresión, delitos relacionados con narcóticos y robo).</w:t>
      </w:r>
    </w:p>
    <w:p w14:paraId="2AD264C8" w14:textId="77777777" w:rsidR="00853CC8" w:rsidRDefault="00853CC8" w:rsidP="00853CC8">
      <w:pPr>
        <w:jc w:val="both"/>
      </w:pPr>
      <w:r w:rsidRPr="00634533">
        <w:t>El trabajo se enmarca en la Teoría de las Actividades Rutinarias (Cohen y Felson, 1979) y la Teoría del Patrón del Delito (Brantingham y Brantingham, 1984), que predicen una reducción general del delito debido a la drástica disminución de oportunidades (menor movilidad y mayor vigilancia). También se considera la Teoría General de la Tensión (Agnew, 1992), que sugiere que los estímulos negativos del confinamiento (estrés, aislamiento, incertidumbre económica) podrían generar emociones negativas que conduzcan a un aumento de ciertos delitos. Este marco teórico macro se combina con la literatura sobre la concentración espacial del delito, que postula que el delito no se distribuye aleatoriamente, sino que se agrupa en áreas específicas debido a características sociales, económicas y ecológicas (Shaw y McKay, 1942; Weisburd, 2015)</w:t>
      </w:r>
      <w:r>
        <w:t>.</w:t>
      </w:r>
    </w:p>
    <w:p w14:paraId="6471187B" w14:textId="77777777" w:rsidR="00853CC8" w:rsidRDefault="00853CC8" w:rsidP="00853CC8">
      <w:pPr>
        <w:jc w:val="both"/>
      </w:pPr>
      <w:r w:rsidRPr="00CA5B4E">
        <w:t>La articulación argumentativa es que, si bien las teorías macro (Actividades Rutinarias, Tensión) explican las dinámicas generales, la concentración espacial del delito exige un análisis a nivel comunitario para comprender cómo los diferentes contextos locales (criminales, socioeconómicos, demográficos) moderan dicho impacto</w:t>
      </w:r>
      <w:r>
        <w:t>.</w:t>
      </w:r>
    </w:p>
    <w:p w14:paraId="61C51FFE" w14:textId="77777777" w:rsidR="00853CC8" w:rsidRDefault="00853CC8" w:rsidP="00853CC8">
      <w:pPr>
        <w:jc w:val="both"/>
      </w:pPr>
      <w:r>
        <w:lastRenderedPageBreak/>
        <w:t xml:space="preserve">El diseño de esta investigación corresponde a uno </w:t>
      </w:r>
      <w:r w:rsidRPr="00CA5B4E">
        <w:t>cuantitativ</w:t>
      </w:r>
      <w:r>
        <w:t>o</w:t>
      </w:r>
      <w:r w:rsidRPr="00CA5B4E">
        <w:t xml:space="preserve"> con un diseño metodológico en dos pasos: 1) estimación del impacto causal a nivel comunitario mediante un modelo contrafactual, y 2) análisis inferencial de los correlatos asociados a las reducciones significativas identificadas en el primer paso</w:t>
      </w:r>
      <w:r>
        <w:t xml:space="preserve">. </w:t>
      </w:r>
      <w:r w:rsidRPr="00CA5B4E">
        <w:t>El corpus son los 122,421 delitos (allanamientos, agresiones, narcóticos y robos) reportados en las 77 áreas comunitarias oficiales de Chicago (EE.UU.), desde el 1 de enero de 2018 hasta el 17 de mayo de 2020. Las comunidades son unidades estables y oficiales para la entrega de servicios y estadísticas en la ciudad</w:t>
      </w:r>
      <w:r>
        <w:t>.</w:t>
      </w:r>
    </w:p>
    <w:p w14:paraId="62693008" w14:textId="77777777" w:rsidR="00853CC8" w:rsidRDefault="00853CC8" w:rsidP="00853CC8">
      <w:pPr>
        <w:jc w:val="both"/>
      </w:pPr>
      <w:r>
        <w:t>Las variables de estudio son:</w:t>
      </w:r>
    </w:p>
    <w:p w14:paraId="78649E29" w14:textId="77777777" w:rsidR="00853CC8" w:rsidRDefault="00853CC8" w:rsidP="00853CC8">
      <w:pPr>
        <w:pStyle w:val="Prrafodelista"/>
        <w:numPr>
          <w:ilvl w:val="0"/>
          <w:numId w:val="4"/>
        </w:numPr>
        <w:jc w:val="both"/>
      </w:pPr>
      <w:r>
        <w:t>Independientes: Las políticas de contención de la COVID-19 (distanciamiento social y orden de confinamiento) iniciadas el 16 de marzo de 2020.</w:t>
      </w:r>
    </w:p>
    <w:p w14:paraId="47148361" w14:textId="77777777" w:rsidR="00853CC8" w:rsidRDefault="00853CC8" w:rsidP="00853CC8">
      <w:pPr>
        <w:pStyle w:val="Prrafodelista"/>
        <w:numPr>
          <w:ilvl w:val="0"/>
          <w:numId w:val="4"/>
        </w:numPr>
        <w:jc w:val="both"/>
      </w:pPr>
      <w:r>
        <w:t>Dependientes: 1) Efecto Acumulativo Relativo (RCE) del período post-intervención para cada delito y comunidad. 2) Variable binaria CR (Crime Reduction) que indica reducción significativa (RCE&lt;0, p&lt;0.05).</w:t>
      </w:r>
    </w:p>
    <w:p w14:paraId="7900FD12" w14:textId="77777777" w:rsidR="00853CC8" w:rsidRDefault="00853CC8" w:rsidP="00853CC8">
      <w:pPr>
        <w:pStyle w:val="Prrafodelista"/>
        <w:numPr>
          <w:ilvl w:val="0"/>
          <w:numId w:val="4"/>
        </w:numPr>
        <w:jc w:val="both"/>
      </w:pPr>
      <w:r>
        <w:t>De control: Incluidas en cuatro dimensiones en los modelos de regresión: a) Relacionadas con el delito: tasas de delitos en 2019, percepción de seguridad en el barrio, presencia de estación de policía. b) Socioeconómicas: población, diversidad de ingresos, hacinamiento habitacional, tasa de viviendas vacantes, tasa de pobreza. c) Salud/demográficas: % de población &gt;65 años, % de población &lt;18 años, estado de salud general auto-reportado, tasa de casos de COVID-19. d) Reducción conjunta: reducción significativa de otros tipos de delitos.</w:t>
      </w:r>
    </w:p>
    <w:p w14:paraId="35F99DC4" w14:textId="77777777" w:rsidR="00853CC8" w:rsidRDefault="00853CC8" w:rsidP="00853CC8">
      <w:pPr>
        <w:jc w:val="both"/>
      </w:pPr>
      <w:r w:rsidRPr="00CA5B4E">
        <w:t>El estudio revela que el impacto de las políticas de confinamiento en el crimen no fue uniforme, sino que presentó patrones divergentes según el tipo de delito y la comunidad analizada. Solo un subconjunto de comunidades experimentó reducciones significativas: allanamiento (12.98%</w:t>
      </w:r>
      <w:r>
        <w:t xml:space="preserve">, </w:t>
      </w:r>
      <w:r w:rsidRPr="007348CD">
        <w:t>10 de 77 comunidades</w:t>
      </w:r>
      <w:r w:rsidRPr="00CA5B4E">
        <w:t>), agresión (23.37%</w:t>
      </w:r>
      <w:r>
        <w:t xml:space="preserve">, </w:t>
      </w:r>
      <w:r w:rsidRPr="007348CD">
        <w:t>18 de 77 comunidades</w:t>
      </w:r>
      <w:r w:rsidRPr="00CA5B4E">
        <w:t>), narcóticos (45.54%</w:t>
      </w:r>
      <w:r>
        <w:t xml:space="preserve">, </w:t>
      </w:r>
      <w:r w:rsidRPr="007348CD">
        <w:t>35 de 77 comunidades</w:t>
      </w:r>
      <w:r w:rsidRPr="00CA5B4E">
        <w:t>), robo (12.98%</w:t>
      </w:r>
      <w:r>
        <w:t xml:space="preserve">, </w:t>
      </w:r>
      <w:r w:rsidRPr="007348CD">
        <w:t>10 de 77 comunidades</w:t>
      </w:r>
      <w:r w:rsidRPr="00CA5B4E">
        <w:t>).</w:t>
      </w:r>
      <w:r>
        <w:t xml:space="preserve"> En paralelo, </w:t>
      </w:r>
      <w:r w:rsidRPr="00826042">
        <w:t>Se observaron algunos aumentos significativos en allanamiento (2 comunidades) y agresión (1 comunidad).</w:t>
      </w:r>
      <w:r>
        <w:t xml:space="preserve"> </w:t>
      </w:r>
      <w:r w:rsidRPr="00003169">
        <w:t>Los modelos de regresión mostraron correlatos mixtos: la población fue el único factor asociado positivamente y de manera estable con reducciones significativas en los cuatro tipos de delito. Otros factores mostraron relaciones opuestas según el delito (ej., diversidad de ingresos se asoció positivamente con reducciones en narcóticos y agresiones, pero negativamente en allanamientos y robos)</w:t>
      </w:r>
      <w:r>
        <w:t>.</w:t>
      </w:r>
    </w:p>
    <w:p w14:paraId="4426365A" w14:textId="77777777" w:rsidR="00853CC8" w:rsidRDefault="00853CC8" w:rsidP="00853CC8">
      <w:pPr>
        <w:jc w:val="both"/>
      </w:pPr>
      <w:r>
        <w:t>Los factores asociados a la reducción del crimen varían: la disminución de los robos se correlacionó con la densidad de población y la proporción de población joven, mientras que la caída en delitos de narcóticos se vinculó con el estatus socioeconómico y la desventaja comunitaria.</w:t>
      </w:r>
    </w:p>
    <w:p w14:paraId="090005D9" w14:textId="01914A7C" w:rsidR="00853CC8" w:rsidRDefault="00853CC8" w:rsidP="00853CC8">
      <w:pPr>
        <w:jc w:val="both"/>
      </w:pPr>
      <w:r>
        <w:t>Se concluye que el análisis a nivel agregado de ciudad oculta dinámicas locales complejas, y que la efectividad de las intervenciones públicas en la criminalidad depende fuertemente del contexto sociodemográfico de cada barrio.</w:t>
      </w:r>
    </w:p>
    <w:p w14:paraId="70C52287" w14:textId="3B0D0863" w:rsidR="0085040D" w:rsidRPr="0085040D" w:rsidRDefault="0085040D" w:rsidP="0085040D">
      <w:pPr>
        <w:jc w:val="both"/>
      </w:pPr>
      <w:r w:rsidRPr="0085040D">
        <w:rPr>
          <w:b/>
          <w:bCs/>
          <w:lang w:val="en-US"/>
        </w:rPr>
        <w:t>Campedelli, G.M., Favarin, S., A</w:t>
      </w:r>
      <w:r>
        <w:rPr>
          <w:b/>
          <w:bCs/>
          <w:lang w:val="en-US"/>
        </w:rPr>
        <w:t>ziani, A. &amp; Patel, A. (2020</w:t>
      </w:r>
      <w:r w:rsidRPr="0085040D">
        <w:rPr>
          <w:b/>
          <w:bCs/>
          <w:lang w:val="en-US"/>
        </w:rPr>
        <w:t>)</w:t>
      </w:r>
      <w:r w:rsidRPr="0085040D">
        <w:rPr>
          <w:lang w:val="en-US"/>
        </w:rPr>
        <w:t> </w:t>
      </w:r>
      <w:r w:rsidRPr="0085040D">
        <w:rPr>
          <w:i/>
          <w:iCs/>
          <w:lang w:val="en-US"/>
        </w:rPr>
        <w:t>"Disentangling community-level changes in crime trends during the COVID-19 pandemic in Chicago"</w:t>
      </w:r>
      <w:r w:rsidRPr="0085040D">
        <w:rPr>
          <w:lang w:val="en-US"/>
        </w:rPr>
        <w:t xml:space="preserve"> Crime Science o similar. </w:t>
      </w:r>
      <w:r w:rsidRPr="0085040D">
        <w:t>→ Diferencia el efecto COVID sobre crimen violento vs. propiedad a nivel granular. Si encuentran distintas elasticidades por tipo de delito, es evidencia directa para el mecanismo que argumentamos en el marco teórico.</w:t>
      </w:r>
    </w:p>
    <w:p w14:paraId="3DE3371C" w14:textId="77777777" w:rsidR="0085040D" w:rsidRDefault="0085040D" w:rsidP="00853CC8">
      <w:pPr>
        <w:jc w:val="both"/>
      </w:pPr>
    </w:p>
    <w:p w14:paraId="60ECFF91" w14:textId="77777777" w:rsidR="00853CC8" w:rsidRDefault="00853CC8" w:rsidP="00853CC8">
      <w:pPr>
        <w:jc w:val="both"/>
      </w:pPr>
      <w:r>
        <w:rPr>
          <w:b/>
          <w:bCs/>
        </w:rPr>
        <w:t xml:space="preserve">Buonanno y Montolio (2008) </w:t>
      </w:r>
      <w:r w:rsidRPr="007348CD">
        <w:t>estudia los determinantes socioeconómicos y demográficos de la delincuencia en España entre 1993 y 1999</w:t>
      </w:r>
      <w:r>
        <w:t xml:space="preserve"> mediante un panel dinámico de 46 provincias, totalizando 332 observaciones. </w:t>
      </w:r>
      <w:r w:rsidRPr="007348CD">
        <w:t>El marco teórico se basa en el modelo económico del crimen (ECM) seminal de Becker (1968), según el cual los individuos toman decisiones racionales de delinquir evaluando los costes (probabilidad de arresto y condena) y los beneficios (ganancias ilegales frente a ingresos legales)</w:t>
      </w:r>
      <w:r>
        <w:t>.</w:t>
      </w:r>
    </w:p>
    <w:p w14:paraId="7F153E2E" w14:textId="77777777" w:rsidR="00853CC8" w:rsidRDefault="00853CC8" w:rsidP="00853CC8">
      <w:pPr>
        <w:jc w:val="both"/>
      </w:pPr>
      <w:r>
        <w:t>Las variables principales corresponden a:</w:t>
      </w:r>
    </w:p>
    <w:p w14:paraId="6CFF691D" w14:textId="77777777" w:rsidR="00853CC8" w:rsidRDefault="00853CC8" w:rsidP="00853CC8">
      <w:pPr>
        <w:pStyle w:val="Prrafodelista"/>
        <w:numPr>
          <w:ilvl w:val="0"/>
          <w:numId w:val="4"/>
        </w:numPr>
        <w:jc w:val="both"/>
      </w:pPr>
      <w:r>
        <w:t>Independientes: Porcentaje de extranjeros (FOREIGN), tasa de urbanización (URBANISATION), porcentaje de hombres jóvenes (YMALE 15-19, 20-24, 25-29), nivel educativo (EDUCATION), PIB per cápita (GDP), tasa de crecimiento del PIB (GROWTH), tasa de desempleo juvenil (YUNEMP), tasa de condena (CONDEMN), tasa de esclarecimiento policial (CLEAR).</w:t>
      </w:r>
    </w:p>
    <w:p w14:paraId="1D7067DC" w14:textId="77777777" w:rsidR="00853CC8" w:rsidRDefault="00853CC8" w:rsidP="00853CC8">
      <w:pPr>
        <w:pStyle w:val="Prrafodelista"/>
        <w:numPr>
          <w:ilvl w:val="0"/>
          <w:numId w:val="4"/>
        </w:numPr>
        <w:jc w:val="both"/>
      </w:pPr>
      <w:r>
        <w:t>Dependientes: Logaritmo de las tasas de delitos totales, contra la propiedad y contra las personas. En un análisis posterior, se desagregan en delitos graves (delitos) y menores (faltas).</w:t>
      </w:r>
    </w:p>
    <w:p w14:paraId="7C4D332B" w14:textId="77777777" w:rsidR="00853CC8" w:rsidRDefault="00853CC8" w:rsidP="00853CC8">
      <w:pPr>
        <w:pStyle w:val="Prrafodelista"/>
        <w:numPr>
          <w:ilvl w:val="0"/>
          <w:numId w:val="4"/>
        </w:numPr>
        <w:jc w:val="both"/>
      </w:pPr>
      <w:r>
        <w:t>De control: Efectos fijos provinciales, efectos temporales, y la variable dependiente retardada para capturar la inercia.</w:t>
      </w:r>
    </w:p>
    <w:p w14:paraId="38B0E711" w14:textId="77777777" w:rsidR="00853CC8" w:rsidRDefault="00853CC8" w:rsidP="00853CC8">
      <w:pPr>
        <w:jc w:val="both"/>
      </w:pPr>
      <w:r>
        <w:t>Los hallazgos indican que:</w:t>
      </w:r>
    </w:p>
    <w:p w14:paraId="759D471F" w14:textId="77777777" w:rsidR="00853CC8" w:rsidRDefault="00853CC8" w:rsidP="00853CC8">
      <w:pPr>
        <w:jc w:val="both"/>
      </w:pPr>
      <w:r w:rsidRPr="007A445F">
        <w:t>Se identifica que la criminalidad pasada (tasa de criminalidad rezagada) es uno de los predictores más fuertes de las tasas actuales, sugiriendo un efecto de persistencia o inercia criminal en las provincias españolas.</w:t>
      </w:r>
    </w:p>
    <w:p w14:paraId="2DBE6933" w14:textId="77777777" w:rsidR="00853CC8" w:rsidRDefault="00853CC8" w:rsidP="00853CC8">
      <w:pPr>
        <w:jc w:val="both"/>
      </w:pPr>
      <w:r w:rsidRPr="007A445F">
        <w:t>Contrario a la hipótesis de disuasión tradicional, el estudio encuentra una correlación positiva entre la tasa de esclarecimiento (clearance rate) y la criminalidad, lo que los autores atribuyen a posibles errores de medición o a que una mayor actividad delictiva presiona a la policía a reportar más casos resueltos.</w:t>
      </w:r>
    </w:p>
    <w:p w14:paraId="7CD68398" w14:textId="77777777" w:rsidR="00853CC8" w:rsidRDefault="00853CC8" w:rsidP="00853CC8">
      <w:pPr>
        <w:jc w:val="both"/>
      </w:pPr>
      <w:r w:rsidRPr="007A445F">
        <w:t>Los resultados muestran una correlación positiva entre la tasa de urbanización y el crimen, lo cual se explica por la mayor concentración de víctimas potenciales y el anonimato que ofrecen las grandes ciudades.</w:t>
      </w:r>
      <w:r>
        <w:t xml:space="preserve"> </w:t>
      </w:r>
      <w:r w:rsidRPr="007A445F">
        <w:t>La proporción de extranjeros en la población también se asocia positivamente con las tasas de delincuencia en el periodo analizado.</w:t>
      </w:r>
    </w:p>
    <w:p w14:paraId="4C8355A7" w14:textId="1D4E3843" w:rsidR="00853CC8" w:rsidRDefault="00853CC8" w:rsidP="00853CC8">
      <w:pPr>
        <w:jc w:val="both"/>
      </w:pPr>
      <w:r w:rsidRPr="007A445F">
        <w:t>Los delitos contra la propiedad están mejor explicados por variables socioeconómicas específicas: la tasa de desempleo juvenil actúa como un motor del delito, mientras que los niveles más altos de educación actúan como un factor protector que reduce la incidencia delictiva.</w:t>
      </w:r>
    </w:p>
    <w:p w14:paraId="467DC1A7" w14:textId="275FE13C" w:rsidR="00C73889" w:rsidRPr="00C73889" w:rsidRDefault="00C73889" w:rsidP="00C73889">
      <w:pPr>
        <w:jc w:val="both"/>
      </w:pPr>
      <w:r w:rsidRPr="00C73889">
        <w:rPr>
          <w:b/>
          <w:bCs/>
          <w:lang w:val="en-US"/>
        </w:rPr>
        <w:t>Buonanno, P. &amp; Montolio, D. (2008)</w:t>
      </w:r>
      <w:r w:rsidRPr="00C73889">
        <w:rPr>
          <w:lang w:val="en-US"/>
        </w:rPr>
        <w:t> </w:t>
      </w:r>
      <w:r w:rsidRPr="00C73889">
        <w:rPr>
          <w:i/>
          <w:iCs/>
          <w:lang w:val="en-US"/>
        </w:rPr>
        <w:t>"Identifying the socio-economic and demographic determinants of crime across Spanish provinces"</w:t>
      </w:r>
      <w:r w:rsidRPr="00C73889">
        <w:rPr>
          <w:lang w:val="en-US"/>
        </w:rPr>
        <w:t xml:space="preserve"> International Review of Law and Economics, 28(2), 89–97. </w:t>
      </w:r>
      <w:r w:rsidRPr="00C73889">
        <w:t>→ Modelo econométrico con desagregación de crimen violento vs. propiedad. Apoya la heterogeneidad de elasticidades del párrafo económico.</w:t>
      </w:r>
    </w:p>
    <w:p w14:paraId="5CD125A0" w14:textId="77777777" w:rsidR="00C73889" w:rsidRDefault="00C73889" w:rsidP="00853CC8">
      <w:pPr>
        <w:jc w:val="both"/>
      </w:pPr>
      <w:bookmarkStart w:id="0" w:name="_GoBack"/>
      <w:bookmarkEnd w:id="0"/>
    </w:p>
    <w:p w14:paraId="6579D62F" w14:textId="77777777" w:rsidR="00853CC8" w:rsidRDefault="00853CC8" w:rsidP="00853CC8">
      <w:pPr>
        <w:jc w:val="both"/>
      </w:pPr>
      <w:r>
        <w:rPr>
          <w:b/>
          <w:bCs/>
        </w:rPr>
        <w:t xml:space="preserve">Bisca et al. (2024) </w:t>
      </w:r>
      <w:r w:rsidRPr="007A445F">
        <w:t>analiza los vínculos entre crimen, inseguridad y macroeconomía en</w:t>
      </w:r>
      <w:r>
        <w:t xml:space="preserve"> América Latina y el Caribe, región marcada por sus altas tasas de homicidios, con la </w:t>
      </w:r>
      <w:r w:rsidRPr="007A445F">
        <w:lastRenderedPageBreak/>
        <w:t xml:space="preserve">inseguridad </w:t>
      </w:r>
      <w:r>
        <w:t xml:space="preserve">como </w:t>
      </w:r>
      <w:r w:rsidRPr="007A445F">
        <w:t>una principal preocupación ciudadana y una barrera macroeconómica crítica.</w:t>
      </w:r>
    </w:p>
    <w:p w14:paraId="0E1AC635" w14:textId="77777777" w:rsidR="00853CC8" w:rsidRDefault="00853CC8" w:rsidP="00853CC8">
      <w:pPr>
        <w:jc w:val="both"/>
      </w:pPr>
      <w:r w:rsidRPr="004864C5">
        <w:t>El marco teórico se fundamenta en el modelo económico del crimen de Becker (1968), donde los individuos toman decisiones racionales comparando costos y beneficios de actividades delictivas versus legales. El artículo se sitúa dentro de una literatura más amplia que examina los determinantes socioeconómicos e institucionales del crimen, como la desigualdad, las oportunidades laborales y la calidad de la gobernanza.</w:t>
      </w:r>
    </w:p>
    <w:p w14:paraId="34329FC5" w14:textId="77777777" w:rsidR="00853CC8" w:rsidRDefault="00853CC8" w:rsidP="00853CC8">
      <w:pPr>
        <w:jc w:val="both"/>
      </w:pPr>
      <w:r w:rsidRPr="004864C5">
        <w:t xml:space="preserve">El </w:t>
      </w:r>
      <w:r>
        <w:t xml:space="preserve">estudio </w:t>
      </w:r>
      <w:r w:rsidRPr="004864C5">
        <w:t>utiliza los homicidios como principal proxy para el crimen violento, por su homogeneidad en la definición y su correlación con otras formas de violencia. Introduce el concepto de "bolsillos de fragilidad" para describir municipios o territorios con altísimas tasas de crimen, caracterizados por una capacidad estatal extremadamente débil y vulnerabilidad al crimen organizado. El crimen organizado se define como actividades criminales planificadas por grupos, vinculado a gran parte de los homicidios en la región. La inseguridad abarca tanto la victimización real como la percepción de inseguridad, que afecta el bienestar y la actividad económica. Estos constructos se articulan para argumentar que el crimen es un fenómeno complejo, altamente localizado, con fuertes determinantes macroeconómicos e institucionales, y con costos económicos sustanciales que justifican su tratamiento como una cuestión "macro-crítica".</w:t>
      </w:r>
    </w:p>
    <w:p w14:paraId="15280B1B" w14:textId="77777777" w:rsidR="00853CC8" w:rsidRDefault="00853CC8" w:rsidP="00853CC8">
      <w:pPr>
        <w:jc w:val="both"/>
      </w:pPr>
      <w:r w:rsidRPr="004864C5">
        <w:t>El estudio adopta un diseño empírico, cuantitativo y de métodos mixtos, combinando análisis de datos transversales, series de tiempo y encuestas a nivel macro (países), meso (municipios) y micro (empresas y hogares).</w:t>
      </w:r>
    </w:p>
    <w:p w14:paraId="3C3EC9AD" w14:textId="77777777" w:rsidR="00853CC8" w:rsidRDefault="00853CC8" w:rsidP="00853CC8">
      <w:pPr>
        <w:jc w:val="both"/>
      </w:pPr>
      <w:r w:rsidRPr="004864C5">
        <w:t xml:space="preserve">Para el análisis municipal, </w:t>
      </w:r>
      <w:r>
        <w:t xml:space="preserve">se emplean </w:t>
      </w:r>
      <w:r w:rsidRPr="004864C5">
        <w:t>datos de homicidios y luz nocturna (proxy de actividad económica) de municipios en hasta 17 países de ALC (2010-</w:t>
      </w:r>
      <w:r>
        <w:t>20</w:t>
      </w:r>
      <w:r w:rsidRPr="004864C5">
        <w:t>23). Para el análisis de empresas, se utilizan las World Bank Enterprise Surveys (Latinoamérica, 2016-18) y la Innovation, Firm Performance and Gender Survey (Caribe, 2020-21), así como la Encuesta Nacional de Victimización de Empresas de México (2014, 2022). El panel macroeconómico abarca hasta 104 economías emergentes (1997-2021).</w:t>
      </w:r>
    </w:p>
    <w:p w14:paraId="4FCBB488" w14:textId="77777777" w:rsidR="00853CC8" w:rsidRDefault="00853CC8" w:rsidP="00853CC8">
      <w:pPr>
        <w:jc w:val="both"/>
      </w:pPr>
      <w:r>
        <w:t>Las principales variables corresponden a:</w:t>
      </w:r>
    </w:p>
    <w:p w14:paraId="54D9B892" w14:textId="77777777" w:rsidR="00853CC8" w:rsidRDefault="00853CC8" w:rsidP="00853CC8">
      <w:pPr>
        <w:pStyle w:val="Prrafodelista"/>
        <w:numPr>
          <w:ilvl w:val="0"/>
          <w:numId w:val="5"/>
        </w:numPr>
        <w:jc w:val="both"/>
      </w:pPr>
      <w:r>
        <w:t>Independientes: Factores macroeconómicos (crecimiento negativo, inflación alta, desigualdad/Gini), calidad de la gobernanza (índice de estado de derecho), producción de armas en EE.UU., características municipales (ubicación fronteriza/costera, infraestructura vial, nivel educativo, juventud de la población), presencia de pandillas (reportada por empresas).</w:t>
      </w:r>
    </w:p>
    <w:p w14:paraId="3F8A99D9" w14:textId="77777777" w:rsidR="00853CC8" w:rsidRDefault="00853CC8" w:rsidP="00853CC8">
      <w:pPr>
        <w:pStyle w:val="Prrafodelista"/>
        <w:numPr>
          <w:ilvl w:val="0"/>
          <w:numId w:val="5"/>
        </w:numPr>
        <w:jc w:val="both"/>
      </w:pPr>
      <w:r>
        <w:t>Dependientes: Tasa de homicidios (por 100,000 hab.), actividad económica (medida por luz nocturna), producción industrial, costos directos del crimen para empresas (pérdidas y gasto en seguridad), productividad laboral de las empresas, probabilidad de innovar.</w:t>
      </w:r>
    </w:p>
    <w:p w14:paraId="433CE762" w14:textId="77777777" w:rsidR="00853CC8" w:rsidRDefault="00853CC8" w:rsidP="00853CC8">
      <w:pPr>
        <w:pStyle w:val="Prrafodelista"/>
        <w:numPr>
          <w:ilvl w:val="0"/>
          <w:numId w:val="5"/>
        </w:numPr>
        <w:jc w:val="both"/>
      </w:pPr>
      <w:r>
        <w:t>De control: En los modelos macro, se controla por PIB per cápita, "bulge" juvenil y población total. En los modelos de empresas, se controla por tamaño, antigüedad, propiedad extranjera, inversión en I+D, efectos fijos por país y sector.</w:t>
      </w:r>
    </w:p>
    <w:p w14:paraId="22F5E853" w14:textId="45CBC28D" w:rsidR="00221CE3" w:rsidRDefault="00853CC8" w:rsidP="00853CC8">
      <w:r>
        <w:t>Los hallazgos de este informe señalan que a</w:t>
      </w:r>
      <w:r w:rsidRPr="004864C5">
        <w:t xml:space="preserve"> nivel municipal, un aumento del 10% en los homicidios reduce la actividad económica en alrededor de 4%. El crimen es un obstáculo principal para el 30% de las empresas, con costos directos del 7% aprox. de las ventas </w:t>
      </w:r>
      <w:r w:rsidRPr="004864C5">
        <w:lastRenderedPageBreak/>
        <w:t>anuales, afectando más a las pequeñas empresas. La presencia de pandillas cuadruplica los daños por crimen a las empresas (México). Un choque de noticias sobre crimen (aumento de 10 p.p.) contrae la producción industrial un 2,5% tras tres trimestres. El crimen aumenta con la inestabilidad macroeconómica: una recesión eleva los homicidios hasta un 6% en ALC, la inflación &gt;10% se asocia con un aumento del 10% al año siguiente, y un aumento de una desviación estándar en el coeficiente de Gini con un 12% más de homicidios. La debilidad del estado de derecho y la desconfianza en la policía están fuertemente asociadas a más crimen y menor denuncia. El gasto en orden público y seguridad (~1,9% del PIB) es alto pero inelástico al crimen; aumentar el gasto puede reducir los homicidios, pero la eficiencia del gasto es crítica.</w:t>
      </w:r>
    </w:p>
    <w:p w14:paraId="34F367F3" w14:textId="14F5FDD5" w:rsidR="00C73889" w:rsidRPr="00C73889" w:rsidRDefault="00C73889" w:rsidP="00853CC8">
      <w:pPr>
        <w:rPr>
          <w:lang w:val="en-US"/>
        </w:rPr>
      </w:pPr>
      <w:r w:rsidRPr="00C73889">
        <w:rPr>
          <w:lang w:val="en-US"/>
        </w:rPr>
        <w:t>Copyright ©2024 International Monetary Fund Cataloging-in-Publication Data IMF Library Names: Bisca, Paul M., author. | Chau, Vu, author. | Dudine, P. (Paolo), author. | Espinoza, Raphael A., author. |Fournier, Jean Marc, 1980-, author. | Guérin, Pierre, 1984-, author. | Hansen, Niels-Jakob Harbo, author. | Salas, Jorge, author. | International Monetary Fund, publisher. Title: Violent crime and insecurity in Latin America and the Caribbean : a macroeconomic perspective / prepared by Paul M. Bisca, Vu Chau, Paolo Dudine, Raphael Espinoza, Jean-Marc Fournier, Pierre Guérin, Niels-Jakob Hansen, and Jorge Salas. Other titles: International Monetary Fund. Western Hemisphere Department (Series). Description: Washington, DC : International Monetary Fund, 2024. | Oct. 2024. | DP/2024/009. | Includes bibliographical references. Identifiers: ISBN: 9798400288470  (paper) 9798400289491  (ePub) 9798400289323  (WebPDF) Subjects: LCSH: Crime—Latin America—Economic models. | Crime—Caribbean—Economic models. | Violent crimes—Latin America. | Violent crimes—Caribbean. Classification: LCC HV6810.5.B5 2024</w:t>
      </w:r>
    </w:p>
    <w:sectPr w:rsidR="00C73889" w:rsidRPr="00C7388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593DF2"/>
    <w:multiLevelType w:val="hybridMultilevel"/>
    <w:tmpl w:val="5538B89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69F773B"/>
    <w:multiLevelType w:val="hybridMultilevel"/>
    <w:tmpl w:val="B28E775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21B95D5A"/>
    <w:multiLevelType w:val="hybridMultilevel"/>
    <w:tmpl w:val="FABA35D4"/>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2F965CCB"/>
    <w:multiLevelType w:val="hybridMultilevel"/>
    <w:tmpl w:val="26640CD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68164E76"/>
    <w:multiLevelType w:val="hybridMultilevel"/>
    <w:tmpl w:val="7E6090E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4"/>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3CC8"/>
    <w:rsid w:val="0001352A"/>
    <w:rsid w:val="00080DD8"/>
    <w:rsid w:val="00221CE3"/>
    <w:rsid w:val="003554C1"/>
    <w:rsid w:val="0071126F"/>
    <w:rsid w:val="0085040D"/>
    <w:rsid w:val="00853CC8"/>
    <w:rsid w:val="00882952"/>
    <w:rsid w:val="009115F9"/>
    <w:rsid w:val="009260F7"/>
    <w:rsid w:val="00B2743A"/>
    <w:rsid w:val="00C73889"/>
    <w:rsid w:val="00D14388"/>
    <w:rsid w:val="00EC2505"/>
    <w:rsid w:val="00ED5621"/>
    <w:rsid w:val="00FD479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B6038"/>
  <w15:chartTrackingRefBased/>
  <w15:docId w15:val="{1D6119B6-4A8F-4B5E-A6EA-35331DD00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53CC8"/>
  </w:style>
  <w:style w:type="paragraph" w:styleId="Ttulo1">
    <w:name w:val="heading 1"/>
    <w:basedOn w:val="Normal"/>
    <w:next w:val="Normal"/>
    <w:link w:val="Ttulo1Car"/>
    <w:uiPriority w:val="9"/>
    <w:qFormat/>
    <w:rsid w:val="00853C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53C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53CC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53CC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53CC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53CC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53CC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53CC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53CC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53CC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53CC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53CC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53CC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53CC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53CC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53CC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53CC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53CC8"/>
    <w:rPr>
      <w:rFonts w:eastAsiaTheme="majorEastAsia" w:cstheme="majorBidi"/>
      <w:color w:val="272727" w:themeColor="text1" w:themeTint="D8"/>
    </w:rPr>
  </w:style>
  <w:style w:type="paragraph" w:styleId="Ttulo">
    <w:name w:val="Title"/>
    <w:basedOn w:val="Normal"/>
    <w:next w:val="Normal"/>
    <w:link w:val="TtuloCar"/>
    <w:uiPriority w:val="10"/>
    <w:qFormat/>
    <w:rsid w:val="00853C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53CC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53CC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53CC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53CC8"/>
    <w:pPr>
      <w:spacing w:before="160"/>
      <w:jc w:val="center"/>
    </w:pPr>
    <w:rPr>
      <w:i/>
      <w:iCs/>
      <w:color w:val="404040" w:themeColor="text1" w:themeTint="BF"/>
    </w:rPr>
  </w:style>
  <w:style w:type="character" w:customStyle="1" w:styleId="CitaCar">
    <w:name w:val="Cita Car"/>
    <w:basedOn w:val="Fuentedeprrafopredeter"/>
    <w:link w:val="Cita"/>
    <w:uiPriority w:val="29"/>
    <w:rsid w:val="00853CC8"/>
    <w:rPr>
      <w:i/>
      <w:iCs/>
      <w:color w:val="404040" w:themeColor="text1" w:themeTint="BF"/>
    </w:rPr>
  </w:style>
  <w:style w:type="paragraph" w:styleId="Prrafodelista">
    <w:name w:val="List Paragraph"/>
    <w:basedOn w:val="Normal"/>
    <w:uiPriority w:val="34"/>
    <w:qFormat/>
    <w:rsid w:val="00853CC8"/>
    <w:pPr>
      <w:ind w:left="720"/>
      <w:contextualSpacing/>
    </w:pPr>
  </w:style>
  <w:style w:type="character" w:styleId="nfasisintenso">
    <w:name w:val="Intense Emphasis"/>
    <w:basedOn w:val="Fuentedeprrafopredeter"/>
    <w:uiPriority w:val="21"/>
    <w:qFormat/>
    <w:rsid w:val="00853CC8"/>
    <w:rPr>
      <w:i/>
      <w:iCs/>
      <w:color w:val="0F4761" w:themeColor="accent1" w:themeShade="BF"/>
    </w:rPr>
  </w:style>
  <w:style w:type="paragraph" w:styleId="Citadestacada">
    <w:name w:val="Intense Quote"/>
    <w:basedOn w:val="Normal"/>
    <w:next w:val="Normal"/>
    <w:link w:val="CitadestacadaCar"/>
    <w:uiPriority w:val="30"/>
    <w:qFormat/>
    <w:rsid w:val="00853C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53CC8"/>
    <w:rPr>
      <w:i/>
      <w:iCs/>
      <w:color w:val="0F4761" w:themeColor="accent1" w:themeShade="BF"/>
    </w:rPr>
  </w:style>
  <w:style w:type="character" w:styleId="Referenciaintensa">
    <w:name w:val="Intense Reference"/>
    <w:basedOn w:val="Fuentedeprrafopredeter"/>
    <w:uiPriority w:val="32"/>
    <w:qFormat/>
    <w:rsid w:val="00853CC8"/>
    <w:rPr>
      <w:b/>
      <w:bCs/>
      <w:smallCaps/>
      <w:color w:val="0F4761" w:themeColor="accent1" w:themeShade="BF"/>
      <w:spacing w:val="5"/>
    </w:rPr>
  </w:style>
  <w:style w:type="paragraph" w:styleId="NormalWeb">
    <w:name w:val="Normal (Web)"/>
    <w:basedOn w:val="Normal"/>
    <w:uiPriority w:val="99"/>
    <w:semiHidden/>
    <w:unhideWhenUsed/>
    <w:rsid w:val="0085040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5695163">
      <w:bodyDiv w:val="1"/>
      <w:marLeft w:val="0"/>
      <w:marRight w:val="0"/>
      <w:marTop w:val="0"/>
      <w:marBottom w:val="0"/>
      <w:divBdr>
        <w:top w:val="none" w:sz="0" w:space="0" w:color="auto"/>
        <w:left w:val="none" w:sz="0" w:space="0" w:color="auto"/>
        <w:bottom w:val="none" w:sz="0" w:space="0" w:color="auto"/>
        <w:right w:val="none" w:sz="0" w:space="0" w:color="auto"/>
      </w:divBdr>
    </w:div>
    <w:div w:id="709647522">
      <w:bodyDiv w:val="1"/>
      <w:marLeft w:val="0"/>
      <w:marRight w:val="0"/>
      <w:marTop w:val="0"/>
      <w:marBottom w:val="0"/>
      <w:divBdr>
        <w:top w:val="none" w:sz="0" w:space="0" w:color="auto"/>
        <w:left w:val="none" w:sz="0" w:space="0" w:color="auto"/>
        <w:bottom w:val="none" w:sz="0" w:space="0" w:color="auto"/>
        <w:right w:val="none" w:sz="0" w:space="0" w:color="auto"/>
      </w:divBdr>
    </w:div>
    <w:div w:id="1481850898">
      <w:bodyDiv w:val="1"/>
      <w:marLeft w:val="0"/>
      <w:marRight w:val="0"/>
      <w:marTop w:val="0"/>
      <w:marBottom w:val="0"/>
      <w:divBdr>
        <w:top w:val="none" w:sz="0" w:space="0" w:color="auto"/>
        <w:left w:val="none" w:sz="0" w:space="0" w:color="auto"/>
        <w:bottom w:val="none" w:sz="0" w:space="0" w:color="auto"/>
        <w:right w:val="none" w:sz="0" w:space="0" w:color="auto"/>
      </w:divBdr>
    </w:div>
    <w:div w:id="1689216236">
      <w:bodyDiv w:val="1"/>
      <w:marLeft w:val="0"/>
      <w:marRight w:val="0"/>
      <w:marTop w:val="0"/>
      <w:marBottom w:val="0"/>
      <w:divBdr>
        <w:top w:val="none" w:sz="0" w:space="0" w:color="auto"/>
        <w:left w:val="none" w:sz="0" w:space="0" w:color="auto"/>
        <w:bottom w:val="none" w:sz="0" w:space="0" w:color="auto"/>
        <w:right w:val="none" w:sz="0" w:space="0" w:color="auto"/>
      </w:divBdr>
    </w:div>
    <w:div w:id="1749578157">
      <w:bodyDiv w:val="1"/>
      <w:marLeft w:val="0"/>
      <w:marRight w:val="0"/>
      <w:marTop w:val="0"/>
      <w:marBottom w:val="0"/>
      <w:divBdr>
        <w:top w:val="none" w:sz="0" w:space="0" w:color="auto"/>
        <w:left w:val="none" w:sz="0" w:space="0" w:color="auto"/>
        <w:bottom w:val="none" w:sz="0" w:space="0" w:color="auto"/>
        <w:right w:val="none" w:sz="0" w:space="0" w:color="auto"/>
      </w:divBdr>
    </w:div>
    <w:div w:id="2066681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7</Pages>
  <Words>3234</Words>
  <Characters>17790</Characters>
  <Application>Microsoft Office Word</Application>
  <DocSecurity>0</DocSecurity>
  <Lines>148</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Cristóbal Cares Molina</dc:creator>
  <cp:keywords/>
  <dc:description/>
  <cp:lastModifiedBy>Ariel Salvador Valdebenito Medina</cp:lastModifiedBy>
  <cp:revision>2</cp:revision>
  <cp:lastPrinted>2026-03-28T17:25:00Z</cp:lastPrinted>
  <dcterms:created xsi:type="dcterms:W3CDTF">2026-03-28T17:24:00Z</dcterms:created>
  <dcterms:modified xsi:type="dcterms:W3CDTF">2026-03-30T13:01:00Z</dcterms:modified>
</cp:coreProperties>
</file>