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df" ContentType="application/pdf"/>
  <Override PartName="/word/media/rId31.pdf" ContentType="application/pdf"/>
  <Override PartName="/word/media/rId39.pdf" ContentType="application/pdf"/>
  <Override PartName="/word/media/rId51.pdf" ContentType="application/pdf"/>
  <Override PartName="/word/media/rId4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Cambio de composición o volumen?</w:t>
      </w:r>
      <w:r>
        <w:br/>
      </w:r>
      <w:r>
        <w:rPr>
          <w:b/>
          <w:bCs/>
        </w:rPr>
        <w:t xml:space="preserve">Trayectoria de los robos contra la propiedad</w:t>
      </w:r>
      <w:r>
        <w:br/>
      </w:r>
      <w:r>
        <w:rPr>
          <w:b/>
          <w:bCs/>
        </w:rPr>
        <w:t xml:space="preserve">en Chile (2013–2025)</w:t>
      </w:r>
    </w:p>
    <w:p>
      <w:pPr>
        <w:pStyle w:val="BodyText"/>
      </w:pPr>
      <w:r>
        <w:t xml:space="preserve">Ariel Valdebenito</w:t>
      </w:r>
      <w:r>
        <w:rPr>
          <w:vertAlign w:val="superscript"/>
        </w:rPr>
        <w:t xml:space="preserve">a</w:t>
      </w:r>
      <w:r>
        <w:t xml:space="preserve"> </w:t>
      </w:r>
      <w:r>
        <w:t xml:space="preserve">Cristóbal Cares</w:t>
      </w:r>
      <w:r>
        <w:rPr>
          <w:vertAlign w:val="superscript"/>
        </w:rPr>
        <w:t xml:space="preserve">b</w:t>
      </w:r>
    </w:p>
    <w:p>
      <w:pPr>
        <w:pStyle w:val="BodyText"/>
      </w:pPr>
      <w:r>
        <w:rPr>
          <w:vertAlign w:val="superscript"/>
        </w:rPr>
        <w:t xml:space="preserve">a</w:t>
      </w:r>
      <w:r>
        <w:t xml:space="preserve">Instituto Nacional de Estadísticas de Chile</w:t>
      </w:r>
      <w:r>
        <w:t xml:space="preserve"> </w:t>
      </w:r>
      <w:r>
        <w:rPr>
          <w:vertAlign w:val="superscript"/>
        </w:rPr>
        <w:t xml:space="preserve">b</w:t>
      </w:r>
      <w:r>
        <w:t xml:space="preserve">Universidad de Santiago de Chile</w:t>
      </w:r>
    </w:p>
    <w:p>
      <w:pPr>
        <w:pStyle w:val="BodyText"/>
      </w:pPr>
      <w:r>
        <w:t xml:space="preserve">Marzo de 2026</w:t>
      </w:r>
    </w:p>
    <w:p>
      <w:r>
        <w:pict>
          <v:rect style="width:0;height:1.5pt" o:hralign="center" o:hrstd="t" o:hr="t"/>
        </w:pict>
      </w:r>
    </w:p>
    <w:p>
      <w:pPr>
        <w:pStyle w:val="BlockText"/>
      </w:pPr>
      <w:r>
        <w:rPr>
          <w:b/>
          <w:bCs/>
        </w:rPr>
        <w:t xml:space="preserve">Resumen.</w:t>
      </w:r>
      <w:r>
        <w:t xml:space="preserve"> </w:t>
      </w:r>
      <w:r>
        <w:t xml:space="preserve">Este artículo examina si la trayectoria de los robos</w:t>
      </w:r>
      <w:r>
        <w:t xml:space="preserve"> </w:t>
      </w:r>
      <w:r>
        <w:t xml:space="preserve">contra la propiedad en Chile (2013–2025) responde a un cambio en el volumen total de</w:t>
      </w:r>
      <w:r>
        <w:t xml:space="preserve"> </w:t>
      </w:r>
      <w:r>
        <w:t xml:space="preserve">delitos o a una transformación en su composición. A partir de un panel de denuncias</w:t>
      </w:r>
      <w:r>
        <w:t xml:space="preserve"> </w:t>
      </w:r>
      <w:r>
        <w:t xml:space="preserve">registradas por Carabineros de Chile para 16 regiones y 156 meses, se estiman modelos</w:t>
      </w:r>
      <w:r>
        <w:t xml:space="preserve"> </w:t>
      </w:r>
      <w:r>
        <w:t xml:space="preserve">Poisson-QMLE con spline cúbico restringido e inferencia por</w:t>
      </w:r>
      <w:r>
        <w:t xml:space="preserve"> </w:t>
      </w:r>
      <w:r>
        <w:rPr>
          <w:i/>
          <w:iCs/>
        </w:rPr>
        <w:t xml:space="preserve">Wild Cluster Bootstrap</w:t>
      </w:r>
      <w:r>
        <w:t xml:space="preserve">,</w:t>
      </w:r>
      <w:r>
        <w:t xml:space="preserve"> </w:t>
      </w:r>
      <w:r>
        <w:t xml:space="preserve">complementados con tests</w:t>
      </w:r>
      <w:r>
        <w:t xml:space="preserve"> </w:t>
      </w:r>
      <w:r>
        <w:rPr>
          <w:i/>
          <w:iCs/>
        </w:rPr>
        <w:t xml:space="preserve">CUSUM</w:t>
      </w:r>
      <w:r>
        <w:t xml:space="preserve">-GLM regional y detección de quiebres de</w:t>
      </w:r>
      <w:r>
        <w:t xml:space="preserve"> </w:t>
      </w:r>
      <w:r>
        <w:rPr>
          <w:i/>
          <w:iCs/>
        </w:rPr>
        <w:t xml:space="preserve">Bai-Perron</w:t>
      </w:r>
      <w:r>
        <w:t xml:space="preserve">.</w:t>
      </w:r>
      <w:r>
        <w:t xml:space="preserve"> </w:t>
      </w:r>
      <w:r>
        <w:t xml:space="preserve">Los resultados muestran que los dos tipos de robo con violencia dominantes</w:t>
      </w:r>
      <w:r>
        <w:t xml:space="preserve"> </w:t>
      </w:r>
      <w:r>
        <w:t xml:space="preserve">—robo con intimidación y robo con violencia— concentran el 93% del grupo y</w:t>
      </w:r>
      <w:r>
        <w:t xml:space="preserve"> </w:t>
      </w:r>
      <w:r>
        <w:t xml:space="preserve">registran tasas post-pandemia inferiores a su referencia histórica. La tasa agregada</w:t>
      </w:r>
      <w:r>
        <w:t xml:space="preserve"> </w:t>
      </w:r>
      <w:r>
        <w:t xml:space="preserve">de robos violentos alcanzó un máximo histórico en 2023 (343 por 100.000 hab.)</w:t>
      </w:r>
      <w:r>
        <w:t xml:space="preserve"> </w:t>
      </w:r>
      <w:r>
        <w:t xml:space="preserve">y describe una inflexión descendente en el período más reciente</w:t>
      </w:r>
      <w:r>
        <w:t xml:space="preserve"> </w:t>
      </w:r>
      <w:r>
        <w:t xml:space="preserve">(Spline 4, 2022–2025: IRR = 0</w:t>
      </w:r>
      <w:r>
        <w:t xml:space="preserve">,</w:t>
      </w:r>
      <w:r>
        <w:t xml:space="preserve">868,</w:t>
      </w:r>
      <w:r>
        <w:t xml:space="preserve"> </w:t>
      </w:r>
      <m:oMath>
        <m:r>
          <m:t>p</m:t>
        </m:r>
        <m:r>
          <m:rPr>
            <m:sty m:val="p"/>
          </m:rPr>
          <m:t>=</m:t>
        </m:r>
        <m:r>
          <m:t>0</m:t>
        </m:r>
        <m:r>
          <m:rPr>
            <m:sty m:val="p"/>
          </m:rPr>
          <m:t>,</m:t>
        </m:r>
        <m:r>
          <m:t>057</m:t>
        </m:r>
      </m:oMath>
      <w:r>
        <w:t xml:space="preserve">). Pese a ello, el ratio robos</w:t>
      </w:r>
      <w:r>
        <w:t xml:space="preserve"> </w:t>
      </w:r>
      <w:r>
        <w:t xml:space="preserve">violentos sobre el total patrimonial alcanzó un máximo histórico de 21</w:t>
      </w:r>
      <w:r>
        <w:t xml:space="preserve">,</w:t>
      </w:r>
      <w:r>
        <w:t xml:space="preserve">6% en</w:t>
      </w:r>
      <w:r>
        <w:t xml:space="preserve"> </w:t>
      </w:r>
      <w:r>
        <w:t xml:space="preserve">enero de 2024, sostenido no por el aumento del numerador sino por la caída más</w:t>
      </w:r>
      <w:r>
        <w:t xml:space="preserve"> </w:t>
      </w:r>
      <w:r>
        <w:t xml:space="preserve">pronunciada de los robos no violentos (Spline 4: IRR = 0</w:t>
      </w:r>
      <w:r>
        <w:t xml:space="preserve">,</w:t>
      </w:r>
      <w:r>
        <w:t xml:space="preserve">648,</w:t>
      </w:r>
      <w:r>
        <w:t xml:space="preserve"> </w:t>
      </w:r>
      <m:oMath>
        <m:r>
          <m:t>p</m:t>
        </m:r>
        <m:r>
          <m:rPr>
            <m:sty m:val="p"/>
          </m:rPr>
          <m:t>&lt;</m:t>
        </m:r>
        <m:r>
          <m:t>0</m:t>
        </m:r>
        <m:r>
          <m:rPr>
            <m:sty m:val="p"/>
          </m:rPr>
          <m:t>,</m:t>
        </m:r>
        <m:r>
          <m:t>001</m:t>
        </m:r>
      </m:oMath>
      <w:r>
        <w:t xml:space="preserve">). El</w:t>
      </w:r>
      <w:r>
        <w:t xml:space="preserve"> </w:t>
      </w:r>
      <w:r>
        <w:t xml:space="preserve">debate sobre la</w:t>
      </w:r>
      <w:r>
        <w:t xml:space="preserve"> </w:t>
      </w:r>
      <w:r>
        <w:t xml:space="preserve">“crisis de seguridad”</w:t>
      </w:r>
      <w:r>
        <w:t xml:space="preserve"> </w:t>
      </w:r>
      <w:r>
        <w:t xml:space="preserve">captura algo real en términos cualitativos</w:t>
      </w:r>
      <w:r>
        <w:t xml:space="preserve"> </w:t>
      </w:r>
      <w:r>
        <w:t xml:space="preserve">—la victimización directa es más probable incluso cuando el recuento total de</w:t>
      </w:r>
      <w:r>
        <w:t xml:space="preserve"> </w:t>
      </w:r>
      <w:r>
        <w:t xml:space="preserve">robos desciende— pero sobreestima el fenómeno al confundir volumen con composición.</w:t>
      </w:r>
    </w:p>
    <w:p>
      <w:pPr>
        <w:pStyle w:val="BlockText"/>
      </w:pPr>
      <w:r>
        <w:rPr>
          <w:b/>
          <w:bCs/>
        </w:rPr>
        <w:t xml:space="preserve">Palabras clave:</w:t>
      </w:r>
      <w:r>
        <w:t xml:space="preserve"> </w:t>
      </w:r>
      <w:r>
        <w:t xml:space="preserve">Delitos contra la propiedad; robos violentos; cambio</w:t>
      </w:r>
      <w:r>
        <w:t xml:space="preserve"> </w:t>
      </w:r>
      <w:r>
        <w:t xml:space="preserve">estructural; Poisson-QMLE; panel regional; Chile.</w:t>
      </w:r>
    </w:p>
    <w:p>
      <w:r>
        <w:pict>
          <v:rect style="width:0;height:1.5pt" o:hralign="center" o:hrstd="t" o:hr="t"/>
        </w:pict>
      </w:r>
    </w:p>
    <w:bookmarkStart w:id="9" w:name="introducción"/>
    <w:p>
      <w:pPr>
        <w:pStyle w:val="Heading1"/>
      </w:pPr>
      <w:r>
        <w:t xml:space="preserve">Introducción</w:t>
      </w:r>
    </w:p>
    <w:p>
      <w:pPr>
        <w:pStyle w:val="FirstParagraph"/>
      </w:pPr>
      <w:r>
        <w:t xml:space="preserve">Chile ha vivido un debate sostenido sobre la percepción de inseguridad ciudadana.</w:t>
      </w:r>
      <w:r>
        <w:t xml:space="preserve"> </w:t>
      </w:r>
      <w:r>
        <w:t xml:space="preserve">Según la Encuesta CEP, la delincuencia se posiciona como la principal preocupación</w:t>
      </w:r>
      <w:r>
        <w:t xml:space="preserve"> </w:t>
      </w:r>
      <w:r>
        <w:t xml:space="preserve">de los chilenos de manera casi ininterrumpida desde 2015, con la única excepción</w:t>
      </w:r>
      <w:r>
        <w:t xml:space="preserve"> </w:t>
      </w:r>
      <w:r>
        <w:t xml:space="preserve">del período inmediatamente posterior al estallido social</w:t>
      </w:r>
      <w:r>
        <w:t xml:space="preserve"> </w:t>
      </w:r>
      <w:r>
        <w:t xml:space="preserve">(Centro de Estudios Públicos 2025)</w:t>
      </w:r>
      <w:r>
        <w:t xml:space="preserve">. Los datos</w:t>
      </w:r>
      <w:r>
        <w:t xml:space="preserve"> </w:t>
      </w:r>
      <w:r>
        <w:t xml:space="preserve">de victimización refrendan este diagnóstico ciudadano: según la Encuesta Nacional</w:t>
      </w:r>
      <w:r>
        <w:t xml:space="preserve"> </w:t>
      </w:r>
      <w:r>
        <w:t xml:space="preserve">Urbana de Seguridad Ciudadana (ENUSC), el 87</w:t>
      </w:r>
      <w:r>
        <w:t xml:space="preserve">,</w:t>
      </w:r>
      <w:r>
        <w:t xml:space="preserve">5% de los encuestados percibía un</w:t>
      </w:r>
      <w:r>
        <w:t xml:space="preserve"> </w:t>
      </w:r>
      <w:r>
        <w:t xml:space="preserve">aumento de la delincuencia en el país en 2023, proporción que se mantiene</w:t>
      </w:r>
      <w:r>
        <w:t xml:space="preserve"> </w:t>
      </w:r>
      <w:r>
        <w:t xml:space="preserve">prácticamente estable en 87</w:t>
      </w:r>
      <w:r>
        <w:t xml:space="preserve">,</w:t>
      </w:r>
      <w:r>
        <w:t xml:space="preserve">7% en 2024</w:t>
      </w:r>
      <w:r>
        <w:t xml:space="preserve"> </w:t>
      </w:r>
      <w:r>
        <w:t xml:space="preserve">(Instituto Nacional de Estadísticas 2025)</w:t>
      </w:r>
      <w:r>
        <w:t xml:space="preserve">. La demanda</w:t>
      </w:r>
      <w:r>
        <w:t xml:space="preserve"> </w:t>
      </w:r>
      <w:r>
        <w:t xml:space="preserve">ciudadana de mayor seguridad ha alimentado una serie de iniciativas legislativas de</w:t>
      </w:r>
      <w:r>
        <w:t xml:space="preserve"> </w:t>
      </w:r>
      <w:r>
        <w:t xml:space="preserve">endurecimiento de penas y ampliación de facultades policiales, y encuentra su</w:t>
      </w:r>
      <w:r>
        <w:t xml:space="preserve"> </w:t>
      </w:r>
      <w:r>
        <w:t xml:space="preserve">expresión política más reciente en el</w:t>
      </w:r>
      <w:r>
        <w:t xml:space="preserve"> </w:t>
      </w:r>
      <w:r>
        <w:t xml:space="preserve">“gobierno de emergencia”</w:t>
      </w:r>
      <w:r>
        <w:t xml:space="preserve"> </w:t>
      </w:r>
      <w:r>
        <w:t xml:space="preserve">del Presidente</w:t>
      </w:r>
      <w:r>
        <w:t xml:space="preserve"> </w:t>
      </w:r>
      <w:r>
        <w:t xml:space="preserve">José Antonio Kast, que ha instalado la seguridad ciudadana—junto con la política</w:t>
      </w:r>
      <w:r>
        <w:t xml:space="preserve"> </w:t>
      </w:r>
      <w:r>
        <w:t xml:space="preserve">migratoria y el crecimiento económico—como eje prioritario de su agenda.</w:t>
      </w:r>
    </w:p>
    <w:p>
      <w:pPr>
        <w:pStyle w:val="BodyText"/>
      </w:pPr>
      <w:r>
        <w:t xml:space="preserve">La percepción de crisis se alimenta además de fenómenos cualitativamente nuevos</w:t>
      </w:r>
      <w:r>
        <w:t xml:space="preserve"> </w:t>
      </w:r>
      <w:r>
        <w:t xml:space="preserve">que han emergido con particular visibilidad en el período 2020–2025: el</w:t>
      </w:r>
      <w:r>
        <w:t xml:space="preserve"> </w:t>
      </w:r>
      <w:r>
        <w:rPr>
          <w:i/>
          <w:iCs/>
        </w:rPr>
        <w:t xml:space="preserve">portonazo</w:t>
      </w:r>
      <w:r>
        <w:t xml:space="preserve">—robo de vehículo con violencia o intimidación—, el secuestro</w:t>
      </w:r>
      <w:r>
        <w:t xml:space="preserve"> </w:t>
      </w:r>
      <w:r>
        <w:t xml:space="preserve">exprés para extorsión bancaria y la expansión del crimen organizado transnacional</w:t>
      </w:r>
      <w:r>
        <w:t xml:space="preserve"> </w:t>
      </w:r>
      <w:r>
        <w:t xml:space="preserve">en distintos territorios del país</w:t>
      </w:r>
      <w:r>
        <w:t xml:space="preserve"> </w:t>
      </w:r>
      <w:r>
        <w:t xml:space="preserve">(Greene, Astraín, and Salas 2023; Bravo Acevedo 2024)</w:t>
      </w:r>
      <w:r>
        <w:t xml:space="preserve">. Estos fenómenos no</w:t>
      </w:r>
      <w:r>
        <w:t xml:space="preserve"> </w:t>
      </w:r>
      <w:r>
        <w:t xml:space="preserve">afectan al territorio de manera uniforme: mientras la macrozona Norte concentra la</w:t>
      </w:r>
      <w:r>
        <w:t xml:space="preserve"> </w:t>
      </w:r>
      <w:r>
        <w:t xml:space="preserve">presión de rutas de narcotráfico y migración irregular</w:t>
      </w:r>
      <w:r>
        <w:t xml:space="preserve"> </w:t>
      </w:r>
      <w:r>
        <w:t xml:space="preserve">(Bravo Acevedo 2024)</w:t>
      </w:r>
      <w:r>
        <w:t xml:space="preserve">, la</w:t>
      </w:r>
      <w:r>
        <w:t xml:space="preserve"> </w:t>
      </w:r>
      <w:r>
        <w:t xml:space="preserve">Región Metropolitana exhibe enclaves de alta violencia donde se concentran</w:t>
      </w:r>
      <w:r>
        <w:t xml:space="preserve"> </w:t>
      </w:r>
      <w:r>
        <w:t xml:space="preserve">homicidios, secuestros y extorsiones</w:t>
      </w:r>
      <w:r>
        <w:t xml:space="preserve"> </w:t>
      </w:r>
      <w:r>
        <w:t xml:space="preserve">(Dammert, Frey, and González 2025)</w:t>
      </w:r>
      <w:r>
        <w:t xml:space="preserve">, y la macrozona Sur registra</w:t>
      </w:r>
      <w:r>
        <w:t xml:space="preserve"> </w:t>
      </w:r>
      <w:r>
        <w:t xml:space="preserve">dinámicas de conflicto territorial que generan su propio patrón delictivo</w:t>
      </w:r>
      <w:r>
        <w:t xml:space="preserve"> </w:t>
      </w:r>
      <w:r>
        <w:t xml:space="preserve">(Izquierdo, Mascareño, and Rozas 2024)</w:t>
      </w:r>
      <w:r>
        <w:t xml:space="preserve">. El punto de inflexión más visible en la violencia letal</w:t>
      </w:r>
      <w:r>
        <w:t xml:space="preserve"> </w:t>
      </w:r>
      <w:r>
        <w:t xml:space="preserve">se registra en torno a 2022, cuando los homicidios, las agresiones sexuales y los robos</w:t>
      </w:r>
      <w:r>
        <w:t xml:space="preserve"> </w:t>
      </w:r>
      <w:r>
        <w:t xml:space="preserve">con violencia muestran alzas simultáneas a nivel nacional</w:t>
      </w:r>
      <w:r>
        <w:t xml:space="preserve"> </w:t>
      </w:r>
      <w:r>
        <w:t xml:space="preserve">(Crespo and Lay 2023)</w:t>
      </w:r>
      <w:r>
        <w:t xml:space="preserve">. La</w:t>
      </w:r>
      <w:r>
        <w:t xml:space="preserve"> </w:t>
      </w:r>
      <w:r>
        <w:t xml:space="preserve">percepción de una</w:t>
      </w:r>
      <w:r>
        <w:t xml:space="preserve"> </w:t>
      </w:r>
      <w:r>
        <w:t xml:space="preserve">“crisis”</w:t>
      </w:r>
      <w:r>
        <w:t xml:space="preserve"> </w:t>
      </w:r>
      <w:r>
        <w:t xml:space="preserve">tiene, en este sentido, una base empírica real; la</w:t>
      </w:r>
      <w:r>
        <w:t xml:space="preserve"> </w:t>
      </w:r>
      <w:r>
        <w:t xml:space="preserve">pregunta analíticamente relevante no es si ocurrió algo, sino precisamente</w:t>
      </w:r>
      <w:r>
        <w:t xml:space="preserve"> </w:t>
      </w:r>
      <w:r>
        <w:rPr>
          <w:i/>
          <w:iCs/>
        </w:rPr>
        <w:t xml:space="preserve">qué</w:t>
      </w:r>
      <w:r>
        <w:t xml:space="preserve"> </w:t>
      </w:r>
      <w:r>
        <w:t xml:space="preserve">ocurrió: ¿aumentó el volumen total de los delitos violentos, o</w:t>
      </w:r>
      <w:r>
        <w:t xml:space="preserve"> </w:t>
      </w:r>
      <w:r>
        <w:t xml:space="preserve">cambió la composición de la delincuencia patrimonial de modo que hoy una mayor</w:t>
      </w:r>
      <w:r>
        <w:t xml:space="preserve"> </w:t>
      </w:r>
      <w:r>
        <w:t xml:space="preserve">proporción implica confrontación directa con la víctima?</w:t>
      </w:r>
    </w:p>
    <w:p>
      <w:pPr>
        <w:pStyle w:val="BodyText"/>
      </w:pPr>
      <w:r>
        <w:t xml:space="preserve">La pregunta es, sin embargo, empíricamente más tractable—y sus implicancias de política más directamente distinguibles—cuando se plantea en el dominio específico de los delitos patrimoniales. Los homicidios y las agresiones contra la integridad física son cualitativamente relevantes, pero presentan limitaciones para el análisis de composición: los primeros tienen cifra negra prácticamente nula y un volumen reducido que restringe la potencia estadística; las agresiones sexuales y las lesiones enfrentan un subregistro diferencial cuya evolución temporal puede confundirse con cambios en el comportamiento denunciante. Los delitos patrimoniales, en cambio, concentran el grueso de las denuncias formales, contienen heterogeneidad interna suficiente para distinguir niveles de violencia en el propio hecho—desde la sustracción sin contacto hasta la retención de víctimas—y engloban los fenómenos que más directamente alimentan la percepción ciudadana de inseguridad en el período reciente. El</w:t>
      </w:r>
      <w:r>
        <w:t xml:space="preserve"> </w:t>
      </w:r>
      <w:r>
        <w:rPr>
          <w:i/>
          <w:iCs/>
        </w:rPr>
        <w:t xml:space="preserve">portonazo</w:t>
      </w:r>
      <w:r>
        <w:t xml:space="preserve">, la encerrona y el lanzazo son robos contra la propiedad con distintos grados de confrontación directa, no delitos contra la vida: su masificación es lo que más visiblemente transforma la experiencia cotidiana de los ciudadanos. Es, por tanto, en ese dominio donde la distinción entre cambio de volumen y cambio de composición posee mayor rendimiento diagnóstico y donde las implicancias para el diseño de política son directamente distinguibles.</w:t>
      </w:r>
    </w:p>
    <w:p>
      <w:pPr>
        <w:pStyle w:val="BodyText"/>
      </w:pPr>
      <w:r>
        <w:t xml:space="preserve">Sin embargo, el diagnóstico sobre la magnitud y naturaleza del fenómeno dista de</w:t>
      </w:r>
      <w:r>
        <w:t xml:space="preserve"> </w:t>
      </w:r>
      <w:r>
        <w:t xml:space="preserve">ser homogéneo. Los registros administrativos de Carabineros de Chile—limitados en</w:t>
      </w:r>
      <w:r>
        <w:t xml:space="preserve"> </w:t>
      </w:r>
      <w:r>
        <w:t xml:space="preserve">este análisis exclusivamente a las denuncias ciudadanas para aislar la demanda de</w:t>
      </w:r>
      <w:r>
        <w:t xml:space="preserve"> </w:t>
      </w:r>
      <w:r>
        <w:t xml:space="preserve">seguridad—permiten distinguir entre el</w:t>
      </w:r>
      <w:r>
        <w:t xml:space="preserve"> </w:t>
      </w:r>
      <w:r>
        <w:rPr>
          <w:i/>
          <w:iCs/>
        </w:rPr>
        <w:t xml:space="preserve">volumen</w:t>
      </w:r>
      <w:r>
        <w:t xml:space="preserve"> </w:t>
      </w:r>
      <w:r>
        <w:t xml:space="preserve">total de delitos y la</w:t>
      </w:r>
      <w:r>
        <w:t xml:space="preserve"> </w:t>
      </w:r>
      <w:r>
        <w:rPr>
          <w:i/>
          <w:iCs/>
        </w:rPr>
        <w:t xml:space="preserve">composición</w:t>
      </w:r>
      <w:r>
        <w:t xml:space="preserve"> </w:t>
      </w:r>
      <w:r>
        <w:t xml:space="preserve">de ese volumen. Esta distinción tiene consecuencias directas</w:t>
      </w:r>
      <w:r>
        <w:t xml:space="preserve"> </w:t>
      </w:r>
      <w:r>
        <w:t xml:space="preserve">para el diseño de política criminal: un incremento de volumen requiere intervenciones</w:t>
      </w:r>
      <w:r>
        <w:t xml:space="preserve"> </w:t>
      </w:r>
      <w:r>
        <w:t xml:space="preserve">orientadas a elevar la capacidad de prevención y persecución en términos generales,</w:t>
      </w:r>
      <w:r>
        <w:t xml:space="preserve"> </w:t>
      </w:r>
      <w:r>
        <w:t xml:space="preserve">mientras que un cambio de composición exige estrategias diferenciadas por tipo de</w:t>
      </w:r>
      <w:r>
        <w:t xml:space="preserve"> </w:t>
      </w:r>
      <w:r>
        <w:t xml:space="preserve">delito, pues el fenómeno que debe atenderse no es la cantidad total de hechos sino</w:t>
      </w:r>
      <w:r>
        <w:t xml:space="preserve"> </w:t>
      </w:r>
      <w:r>
        <w:t xml:space="preserve">la modalidad que los compone. Ambas hipótesis son empíricamente distinguibles y</w:t>
      </w:r>
      <w:r>
        <w:t xml:space="preserve"> </w:t>
      </w:r>
      <w:r>
        <w:t xml:space="preserve">tienen implicancias de política pública fundamentalmente distintas.</w:t>
      </w:r>
    </w:p>
    <w:p>
      <w:pPr>
        <w:pStyle w:val="BodyText"/>
      </w:pPr>
      <w:r>
        <w:t xml:space="preserve">La evidencia internacional sugiere que este tipo de divergencia entre volumen y</w:t>
      </w:r>
      <w:r>
        <w:t xml:space="preserve"> </w:t>
      </w:r>
      <w:r>
        <w:t xml:space="preserve">composición es posible y se encuentra documentada.</w:t>
      </w:r>
      <w:r>
        <w:t xml:space="preserve"> </w:t>
      </w:r>
      <w:r>
        <w:t xml:space="preserve">Cohen and Felson (1979)</w:t>
      </w:r>
      <w:r>
        <w:t xml:space="preserve"> </w:t>
      </w:r>
      <w:r>
        <w:t xml:space="preserve">mostraron que</w:t>
      </w:r>
      <w:r>
        <w:t xml:space="preserve"> </w:t>
      </w:r>
      <w:r>
        <w:t xml:space="preserve">la actividad rutinaria de víctimas y victimarios determina las oportunidades del</w:t>
      </w:r>
      <w:r>
        <w:t xml:space="preserve"> </w:t>
      </w:r>
      <w:r>
        <w:t xml:space="preserve">delito: cuando esas oportunidades se contraen para delitos de baja confrontación,</w:t>
      </w:r>
      <w:r>
        <w:t xml:space="preserve"> </w:t>
      </w:r>
      <w:r>
        <w:t xml:space="preserve">pueden persistir—e incluso aumentar en participación relativa—los delitos que</w:t>
      </w:r>
      <w:r>
        <w:t xml:space="preserve"> </w:t>
      </w:r>
      <w:r>
        <w:t xml:space="preserve">dependen menos de la oportunidad y más de la coerción directa.</w:t>
      </w:r>
      <w:r>
        <w:t xml:space="preserve"> </w:t>
      </w:r>
      <w:r>
        <w:t xml:space="preserve">Blumstein et al. (1988)</w:t>
      </w:r>
      <w:r>
        <w:t xml:space="preserve"> </w:t>
      </w:r>
      <w:r>
        <w:t xml:space="preserve">documentaron un patrón similar en períodos de descenso</w:t>
      </w:r>
      <w:r>
        <w:t xml:space="preserve"> </w:t>
      </w:r>
      <w:r>
        <w:t xml:space="preserve">generalizado de la criminalidad: los delitos de mayor lesividad muestran mayor</w:t>
      </w:r>
      <w:r>
        <w:t xml:space="preserve"> </w:t>
      </w:r>
      <w:r>
        <w:t xml:space="preserve">persistencia relativa que los oportunistas.</w:t>
      </w:r>
    </w:p>
    <w:p>
      <w:pPr>
        <w:pStyle w:val="BodyText"/>
      </w:pPr>
      <w:r>
        <w:t xml:space="preserve">Este artículo evalúa empíricamente si Chile experimenta una dinámica de este</w:t>
      </w:r>
      <w:r>
        <w:t xml:space="preserve"> </w:t>
      </w:r>
      <w:r>
        <w:t xml:space="preserve">tipo. La pregunta central es:</w:t>
      </w:r>
      <w:r>
        <w:t xml:space="preserve"> </w:t>
      </w:r>
      <w:r>
        <w:rPr>
          <w:i/>
          <w:iCs/>
        </w:rPr>
        <w:t xml:space="preserve">Han aumentado estructuralmente</w:t>
      </w:r>
      <w:r>
        <w:rPr>
          <w:i/>
          <w:iCs/>
        </w:rPr>
        <w:t xml:space="preserve"> </w:t>
      </w:r>
      <w:r>
        <w:rPr>
          <w:i/>
          <w:iCs/>
        </w:rPr>
        <w:t xml:space="preserve">los delitos violentos contra la propiedad en Chile durante el período 2013–2025,</w:t>
      </w:r>
      <w:r>
        <w:rPr>
          <w:i/>
          <w:iCs/>
        </w:rPr>
        <w:t xml:space="preserve"> </w:t>
      </w:r>
      <w:r>
        <w:rPr>
          <w:i/>
          <w:iCs/>
        </w:rPr>
        <w:t xml:space="preserve">o el incremento percibido refleja un cambio cualitativo en la composición del delito</w:t>
      </w:r>
      <w:r>
        <w:rPr>
          <w:i/>
          <w:iCs/>
        </w:rPr>
        <w:t xml:space="preserve"> </w:t>
      </w:r>
      <w:r>
        <w:rPr>
          <w:i/>
          <w:iCs/>
        </w:rPr>
        <w:t xml:space="preserve">que no necesariamente implica más víctimas en términos absolutos?</w:t>
      </w:r>
    </w:p>
    <w:p>
      <w:pPr>
        <w:pStyle w:val="BodyText"/>
      </w:pPr>
      <w:r>
        <w:t xml:space="preserve">La contribución del artículo es triple. Primero, se construye un panel regional de</w:t>
      </w:r>
      <w:r>
        <w:t xml:space="preserve"> </w:t>
      </w:r>
      <w:r>
        <w:t xml:space="preserve">casos policiales para 16 regiones y 156 meses—la serie temporal más larga analizada</w:t>
      </w:r>
      <w:r>
        <w:t xml:space="preserve"> </w:t>
      </w:r>
      <w:r>
        <w:t xml:space="preserve">sistemáticamente para este fenómeno en Chile—con corrección demográfica que</w:t>
      </w:r>
      <w:r>
        <w:t xml:space="preserve"> </w:t>
      </w:r>
      <w:r>
        <w:t xml:space="preserve">incorpora los flujos migratorios post-Censo 2017 a través de datos del Servicio</w:t>
      </w:r>
      <w:r>
        <w:t xml:space="preserve"> </w:t>
      </w:r>
      <w:r>
        <w:t xml:space="preserve">Nacional de Migraciones (SERMIG). Segundo, se propone una clasificación tricotómica</w:t>
      </w:r>
      <w:r>
        <w:t xml:space="preserve"> </w:t>
      </w:r>
      <w:r>
        <w:t xml:space="preserve">que distingue robos violentos, robos por sorpresa y robos no violentos, capturando</w:t>
      </w:r>
      <w:r>
        <w:t xml:space="preserve"> </w:t>
      </w:r>
      <w:r>
        <w:t xml:space="preserve">dinámicas cualitativamente distintas que quedan enmascaradas en las clasificaciones</w:t>
      </w:r>
      <w:r>
        <w:t xml:space="preserve"> </w:t>
      </w:r>
      <w:r>
        <w:t xml:space="preserve">binarias institucionales. Tercero, se aplica estimación Poisson-QMLE con spline</w:t>
      </w:r>
      <w:r>
        <w:t xml:space="preserve"> </w:t>
      </w:r>
      <w:r>
        <w:t xml:space="preserve">cúbico restringido e inferencia por</w:t>
      </w:r>
      <w:r>
        <w:t xml:space="preserve"> </w:t>
      </w:r>
      <w:r>
        <w:rPr>
          <w:i/>
          <w:iCs/>
        </w:rPr>
        <w:t xml:space="preserve">Wild Cluster Bootstrap</w:t>
      </w:r>
      <w:r>
        <w:t xml:space="preserve">, complementada con</w:t>
      </w:r>
      <w:r>
        <w:t xml:space="preserve"> </w:t>
      </w:r>
      <w:r>
        <w:t xml:space="preserve">detección de quiebres de</w:t>
      </w:r>
      <w:r>
        <w:t xml:space="preserve"> </w:t>
      </w:r>
      <w:r>
        <w:rPr>
          <w:i/>
          <w:iCs/>
        </w:rPr>
        <w:t xml:space="preserve">Bai-Perron</w:t>
      </w:r>
      <w:r>
        <w:t xml:space="preserve"> </w:t>
      </w:r>
      <w:r>
        <w:t xml:space="preserve">sobre el ratio nacional desestacionalizado; la</w:t>
      </w:r>
      <w:r>
        <w:t xml:space="preserve"> </w:t>
      </w:r>
      <w:r>
        <w:t xml:space="preserve">estabilidad de los resultados se verifica con modelos de sensibilidad de clasificación</w:t>
      </w:r>
      <w:r>
        <w:t xml:space="preserve"> </w:t>
      </w:r>
      <w:r>
        <w:t xml:space="preserve">reportados en el Apéndice.</w:t>
      </w:r>
    </w:p>
    <w:p>
      <w:pPr>
        <w:pStyle w:val="BodyText"/>
      </w:pPr>
      <w:r>
        <w:t xml:space="preserve">El artículo se organiza como sigue. La Sección </w:t>
      </w:r>
      <w:hyperlink w:anchor="sec:marco">
        <w:r>
          <w:rPr>
            <w:rStyle w:val="Hyperlink"/>
          </w:rPr>
          <w:t xml:space="preserve">2</w:t>
        </w:r>
      </w:hyperlink>
      <w:r>
        <w:t xml:space="preserve"> </w:t>
      </w:r>
      <w:r>
        <w:t xml:space="preserve">presenta el marco</w:t>
      </w:r>
      <w:r>
        <w:t xml:space="preserve"> </w:t>
      </w:r>
      <w:r>
        <w:t xml:space="preserve">conceptual. La Sección </w:t>
      </w:r>
      <w:hyperlink w:anchor="sec:datos">
        <w:r>
          <w:rPr>
            <w:rStyle w:val="Hyperlink"/>
          </w:rPr>
          <w:t xml:space="preserve">3</w:t>
        </w:r>
      </w:hyperlink>
      <w:r>
        <w:t xml:space="preserve"> </w:t>
      </w:r>
      <w:r>
        <w:t xml:space="preserve">describe los datos y la estrategia</w:t>
      </w:r>
      <w:r>
        <w:t xml:space="preserve"> </w:t>
      </w:r>
      <w:r>
        <w:t xml:space="preserve">metodológica. La Sección </w:t>
      </w:r>
      <w:hyperlink w:anchor="sec:resultados">
        <w:r>
          <w:rPr>
            <w:rStyle w:val="Hyperlink"/>
          </w:rPr>
          <w:t xml:space="preserve">4</w:t>
        </w:r>
      </w:hyperlink>
      <w:r>
        <w:t xml:space="preserve"> </w:t>
      </w:r>
      <w:r>
        <w:t xml:space="preserve">expone los resultados en tres capas:</w:t>
      </w:r>
      <w:r>
        <w:t xml:space="preserve"> </w:t>
      </w:r>
      <w:r>
        <w:t xml:space="preserve">descriptiva, inferencial y de falsificación. La Sección </w:t>
      </w:r>
      <w:hyperlink w:anchor="sec:robustez">
        <w:r>
          <w:rPr>
            <w:rStyle w:val="Hyperlink"/>
          </w:rPr>
          <w:t xml:space="preserve">5</w:t>
        </w:r>
      </w:hyperlink>
      <w:r>
        <w:t xml:space="preserve"> </w:t>
      </w:r>
      <w:r>
        <w:t xml:space="preserve">reporta</w:t>
      </w:r>
      <w:r>
        <w:t xml:space="preserve"> </w:t>
      </w:r>
      <w:r>
        <w:t xml:space="preserve">los análisis de robustez. La Sección </w:t>
      </w:r>
      <w:hyperlink w:anchor="sec:discusion">
        <w:r>
          <w:rPr>
            <w:rStyle w:val="Hyperlink"/>
          </w:rPr>
          <w:t xml:space="preserve">6</w:t>
        </w:r>
      </w:hyperlink>
      <w:r>
        <w:t xml:space="preserve"> </w:t>
      </w:r>
      <w:r>
        <w:t xml:space="preserve">discute las implicancias</w:t>
      </w:r>
      <w:r>
        <w:t xml:space="preserve"> </w:t>
      </w:r>
      <w:r>
        <w:t xml:space="preserve">y limitaciones. La Sección </w:t>
      </w:r>
      <w:hyperlink w:anchor="sec:conclusiones">
        <w:r>
          <w:rPr>
            <w:rStyle w:val="Hyperlink"/>
          </w:rPr>
          <w:t xml:space="preserve">7</w:t>
        </w:r>
      </w:hyperlink>
      <w:r>
        <w:t xml:space="preserve"> </w:t>
      </w:r>
      <w:r>
        <w:t xml:space="preserve">concluye.</w:t>
      </w:r>
    </w:p>
    <w:bookmarkEnd w:id="9"/>
    <w:bookmarkStart w:id="13" w:name="sec:marco"/>
    <w:p>
      <w:pPr>
        <w:pStyle w:val="Heading1"/>
      </w:pPr>
      <w:r>
        <w:t xml:space="preserve">Marco conceptual</w:t>
      </w:r>
    </w:p>
    <w:bookmarkStart w:id="10" w:name="sub:concepto1"/>
    <w:p>
      <w:pPr>
        <w:pStyle w:val="Heading2"/>
      </w:pPr>
      <w:r>
        <w:t xml:space="preserve">Registro, cifra negra y la distinción entre volumen y composición</w:t>
      </w:r>
    </w:p>
    <w:p>
      <w:pPr>
        <w:pStyle w:val="FirstParagraph"/>
      </w:pPr>
      <w:r>
        <w:t xml:space="preserve">Los registros policiales de denuncias miden</w:t>
      </w:r>
      <w:r>
        <w:t xml:space="preserve"> </w:t>
      </w:r>
      <w:r>
        <w:rPr>
          <w:i/>
          <w:iCs/>
        </w:rPr>
        <w:t xml:space="preserve">criminalidad aparente</w:t>
      </w:r>
      <w:r>
        <w:t xml:space="preserve">: la fracción</w:t>
      </w:r>
      <w:r>
        <w:t xml:space="preserve"> </w:t>
      </w:r>
      <w:r>
        <w:t xml:space="preserve">de delitos que llega a conocimiento de las autoridades. La diferencia entre criminalidad</w:t>
      </w:r>
      <w:r>
        <w:t xml:space="preserve"> </w:t>
      </w:r>
      <w:r>
        <w:t xml:space="preserve">real y aparente—la cifra negra del delito—depende de factores como la gravedad del</w:t>
      </w:r>
      <w:r>
        <w:t xml:space="preserve"> </w:t>
      </w:r>
      <w:r>
        <w:t xml:space="preserve">hecho, la confianza institucional y el costo de la denuncia</w:t>
      </w:r>
      <w:r>
        <w:t xml:space="preserve"> </w:t>
      </w:r>
      <w:r>
        <w:t xml:space="preserve">(Gamarra, Rozas, et al. 2024)</w:t>
      </w:r>
      <w:r>
        <w:t xml:space="preserve">. Esta</w:t>
      </w:r>
      <w:r>
        <w:t xml:space="preserve"> </w:t>
      </w:r>
      <w:r>
        <w:t xml:space="preserve">última dimensión es especialmente relevante para el período analizado: la</w:t>
      </w:r>
      <w:r>
        <w:t xml:space="preserve"> </w:t>
      </w:r>
      <w:r>
        <w:t xml:space="preserve">plataforma Comisaria Virtual de Carabineros, lanzada el 11 de junio de 2019, amplió</w:t>
      </w:r>
      <w:r>
        <w:t xml:space="preserve"> </w:t>
      </w:r>
      <w:r>
        <w:t xml:space="preserve">progresivamente el rango de delitos denunciables en línea, con adopción masiva</w:t>
      </w:r>
      <w:r>
        <w:t xml:space="preserve"> </w:t>
      </w:r>
      <w:r>
        <w:t xml:space="preserve">post-pandemia,</w:t>
      </w:r>
      <w:r>
        <w:t xml:space="preserve"> </w:t>
      </w:r>
      <w:r>
        <w:t xml:space="preserve">reduciendo el costo de la denuncia de manera diferencial según el tipo de delito.</w:t>
      </w:r>
      <w:r>
        <w:t xml:space="preserve"> </w:t>
      </w:r>
      <w:r>
        <w:t xml:space="preserve">Para los robos de alta lesividad—intimidación, violencia física, retención de</w:t>
      </w:r>
      <w:r>
        <w:t xml:space="preserve"> </w:t>
      </w:r>
      <w:r>
        <w:t xml:space="preserve">víctimas—la gravedad del hecho motiva el reporte independientemente del canal</w:t>
      </w:r>
      <w:r>
        <w:t xml:space="preserve"> </w:t>
      </w:r>
      <w:r>
        <w:t xml:space="preserve">disponible. Para los delitos sin confrontación directa—hurtos, robos en domicilios,</w:t>
      </w:r>
      <w:r>
        <w:t xml:space="preserve"> </w:t>
      </w:r>
      <w:r>
        <w:t xml:space="preserve">sustracciones en el espacio público sin contacto con la víctima—la facilidad del</w:t>
      </w:r>
      <w:r>
        <w:t xml:space="preserve"> </w:t>
      </w:r>
      <w:r>
        <w:t xml:space="preserve">canal digital puede generar un incremento en los registros que no necesariamente refleja</w:t>
      </w:r>
      <w:r>
        <w:t xml:space="preserve"> </w:t>
      </w:r>
      <w:r>
        <w:t xml:space="preserve">mayor victimización real. Distinguir tipos de robo al interpretar tendencias no es,</w:t>
      </w:r>
      <w:r>
        <w:t xml:space="preserve"> </w:t>
      </w:r>
      <w:r>
        <w:t xml:space="preserve">por tanto, una decisión analítica conveniente: es una condición para evitar sesgos</w:t>
      </w:r>
      <w:r>
        <w:t xml:space="preserve"> </w:t>
      </w:r>
      <w:r>
        <w:t xml:space="preserve">de interpretación que operan de manera asimétrica según el segmento del</w:t>
      </w:r>
      <w:r>
        <w:t xml:space="preserve"> </w:t>
      </w:r>
      <w:r>
        <w:t xml:space="preserve">catálogo delictivo.</w:t>
      </w:r>
    </w:p>
    <w:p>
      <w:pPr>
        <w:pStyle w:val="BodyText"/>
      </w:pPr>
      <w:r>
        <w:t xml:space="preserve">Sobre esta base se levanta la distinción analítica central de este trabajo. El</w:t>
      </w:r>
      <w:r>
        <w:t xml:space="preserve"> </w:t>
      </w:r>
      <w:r>
        <w:rPr>
          <w:i/>
          <w:iCs/>
        </w:rPr>
        <w:t xml:space="preserve">volumen</w:t>
      </w:r>
      <w:r>
        <w:t xml:space="preserve"> </w:t>
      </w:r>
      <w:r>
        <w:t xml:space="preserve">de la delincuencia mide el número total de hechos por unidad de</w:t>
      </w:r>
      <w:r>
        <w:t xml:space="preserve"> </w:t>
      </w:r>
      <w:r>
        <w:t xml:space="preserve">población; la</w:t>
      </w:r>
      <w:r>
        <w:t xml:space="preserve"> </w:t>
      </w:r>
      <w:r>
        <w:rPr>
          <w:i/>
          <w:iCs/>
        </w:rPr>
        <w:t xml:space="preserve">composición</w:t>
      </w:r>
      <w:r>
        <w:t xml:space="preserve"> </w:t>
      </w:r>
      <w:r>
        <w:t xml:space="preserve">mide la proporción que corresponde a cada tipo</w:t>
      </w:r>
      <w:r>
        <w:t xml:space="preserve"> </w:t>
      </w:r>
      <w:r>
        <w:t xml:space="preserve">en ese total. Estas dos dimensiones pueden moverse en direcciones opuestas, y esta</w:t>
      </w:r>
      <w:r>
        <w:t xml:space="preserve"> </w:t>
      </w:r>
      <w:r>
        <w:t xml:space="preserve">posibilidad tiene consecuencias directas tanto para el diseño de política como para</w:t>
      </w:r>
      <w:r>
        <w:t xml:space="preserve"> </w:t>
      </w:r>
      <w:r>
        <w:t xml:space="preserve">la experiencia subjetiva de inseguridad. Una sociedad puede registrar una caída en el</w:t>
      </w:r>
      <w:r>
        <w:t xml:space="preserve"> </w:t>
      </w:r>
      <w:r>
        <w:t xml:space="preserve">volumen total de robos y, simultáneamente, un aumento en la proporción de eventos</w:t>
      </w:r>
      <w:r>
        <w:t xml:space="preserve"> </w:t>
      </w:r>
      <w:r>
        <w:t xml:space="preserve">que implican confrontación directa con la víctima, si los delitos sin contacto</w:t>
      </w:r>
      <w:r>
        <w:t xml:space="preserve"> </w:t>
      </w:r>
      <w:r>
        <w:t xml:space="preserve">declinan más rápido que los que requieren coerción. Ese cambio compositivo no</w:t>
      </w:r>
      <w:r>
        <w:t xml:space="preserve"> </w:t>
      </w:r>
      <w:r>
        <w:t xml:space="preserve">implica necesariamente más víctimas en términos absolutos, pero sí una mayor</w:t>
      </w:r>
      <w:r>
        <w:t xml:space="preserve"> </w:t>
      </w:r>
      <w:r>
        <w:t xml:space="preserve">probabilidad de victimización directa para quien efectivamente es robado—y son</w:t>
      </w:r>
      <w:r>
        <w:t xml:space="preserve"> </w:t>
      </w:r>
      <w:r>
        <w:t xml:space="preserve">justamente esos eventos los más memorables, traumáticos y determinantes de la</w:t>
      </w:r>
      <w:r>
        <w:t xml:space="preserve"> </w:t>
      </w:r>
      <w:r>
        <w:t xml:space="preserve">percepción subjetiva de inseguridad</w:t>
      </w:r>
      <w:r>
        <w:t xml:space="preserve"> </w:t>
      </w:r>
      <w:r>
        <w:t xml:space="preserve">(Domínguez, Duce, and Fugellie 2024; Gamarra, Mascareño, et al. 2024)</w:t>
      </w:r>
      <w:r>
        <w:t xml:space="preserve">. El debate</w:t>
      </w:r>
      <w:r>
        <w:t xml:space="preserve"> </w:t>
      </w:r>
      <w:r>
        <w:t xml:space="preserve">sobre la</w:t>
      </w:r>
      <w:r>
        <w:t xml:space="preserve"> </w:t>
      </w:r>
      <w:r>
        <w:t xml:space="preserve">“crisis de seguridad”</w:t>
      </w:r>
      <w:r>
        <w:t xml:space="preserve"> </w:t>
      </w:r>
      <w:r>
        <w:t xml:space="preserve">puede ser simultáneamente impreciso en lo</w:t>
      </w:r>
      <w:r>
        <w:t xml:space="preserve"> </w:t>
      </w:r>
      <w:r>
        <w:t xml:space="preserve">cuantitativo y legítimo en lo cualitativo: captura algo real cuando la fracción de</w:t>
      </w:r>
      <w:r>
        <w:t xml:space="preserve"> </w:t>
      </w:r>
      <w:r>
        <w:t xml:space="preserve">eventos de alta lesividad aumenta, aunque el número absoluto de esos eventos no lo</w:t>
      </w:r>
      <w:r>
        <w:t xml:space="preserve"> </w:t>
      </w:r>
      <w:r>
        <w:t xml:space="preserve">haga en la misma magnitud.</w:t>
      </w:r>
    </w:p>
    <w:bookmarkEnd w:id="10"/>
    <w:bookmarkStart w:id="11" w:name="sub:concepto2"/>
    <w:p>
      <w:pPr>
        <w:pStyle w:val="Heading2"/>
      </w:pPr>
      <w:r>
        <w:t xml:space="preserve">Perspectivas teóricas sobre la dinámica y composición del delito</w:t>
      </w:r>
      <w:r>
        <w:t xml:space="preserve"> </w:t>
      </w:r>
      <w:r>
        <w:t xml:space="preserve">patrimonial</w:t>
      </w:r>
    </w:p>
    <w:p>
      <w:pPr>
        <w:pStyle w:val="FirstParagraph"/>
      </w:pPr>
      <w:r>
        <w:t xml:space="preserve">La divergencia entre volumen y composición que este artículo examina puede</w:t>
      </w:r>
      <w:r>
        <w:t xml:space="preserve"> </w:t>
      </w:r>
      <w:r>
        <w:t xml:space="preserve">entenderse desde cuatro perspectivas teóricas complementarias, cuyas predicciones</w:t>
      </w:r>
      <w:r>
        <w:t xml:space="preserve"> </w:t>
      </w:r>
      <w:r>
        <w:t xml:space="preserve">convergen en el caso chileno.</w:t>
      </w:r>
    </w:p>
    <w:p>
      <w:pPr>
        <w:pStyle w:val="BodyText"/>
      </w:pPr>
      <w:r>
        <w:t xml:space="preserve">Desde la perspectiva económica, el modelo racional de</w:t>
      </w:r>
      <w:r>
        <w:t xml:space="preserve"> </w:t>
      </w:r>
      <w:r>
        <w:t xml:space="preserve">Becker (1968)</w:t>
      </w:r>
      <w:r>
        <w:t xml:space="preserve"> </w:t>
      </w:r>
      <w:r>
        <w:t xml:space="preserve">concibe el</w:t>
      </w:r>
      <w:r>
        <w:t xml:space="preserve"> </w:t>
      </w:r>
      <w:r>
        <w:t xml:space="preserve">delito como una decisión individual basada en el cálculo de costos y beneficios: se</w:t>
      </w:r>
      <w:r>
        <w:t xml:space="preserve"> </w:t>
      </w:r>
      <w:r>
        <w:t xml:space="preserve">comete un delito cuando los retornos esperados de la actividad ilegal superan los costos</w:t>
      </w:r>
      <w:r>
        <w:t xml:space="preserve"> </w:t>
      </w:r>
      <w:r>
        <w:t xml:space="preserve">anticipados, que incluyen la probabilidad de arresto y la severidad del castigo</w:t>
      </w:r>
      <w:r>
        <w:t xml:space="preserve"> </w:t>
      </w:r>
      <w:r>
        <w:t xml:space="preserve">(Han, Bandyopadhyay, and Bhattacharya 2013; Shamugia and Ketsbaia 2024; Yin 2017)</w:t>
      </w:r>
      <w:r>
        <w:t xml:space="preserve">. Bajo este marco, los cambios en el entorno que</w:t>
      </w:r>
      <w:r>
        <w:t xml:space="preserve"> </w:t>
      </w:r>
      <w:r>
        <w:t xml:space="preserve">elevan las barreras de acceso—mayor vigilancia residencial, expansión de la</w:t>
      </w:r>
      <w:r>
        <w:t xml:space="preserve"> </w:t>
      </w:r>
      <w:r>
        <w:t xml:space="preserve">seguridad privada, digitalización del comercio—contraen preferentemente la actividad</w:t>
      </w:r>
      <w:r>
        <w:t xml:space="preserve"> </w:t>
      </w:r>
      <w:r>
        <w:t xml:space="preserve">delictiva allí donde esas barreras son más vinculantes. Los robos sin</w:t>
      </w:r>
      <w:r>
        <w:t xml:space="preserve"> </w:t>
      </w:r>
      <w:r>
        <w:t xml:space="preserve">confrontación directa operan con menores costos de ejecución pero son altamente</w:t>
      </w:r>
      <w:r>
        <w:t xml:space="preserve"> </w:t>
      </w:r>
      <w:r>
        <w:t xml:space="preserve">sensibles al aumento de esas barreras; los que requieren coerción presentan costos</w:t>
      </w:r>
      <w:r>
        <w:t xml:space="preserve"> </w:t>
      </w:r>
      <w:r>
        <w:t xml:space="preserve">más elevados pero también retornos esperados mayores y menor sensibilidad al</w:t>
      </w:r>
      <w:r>
        <w:t xml:space="preserve"> </w:t>
      </w:r>
      <w:r>
        <w:t xml:space="preserve">entorno. El resultado es una contracción diferencial que incrementa la participación</w:t>
      </w:r>
      <w:r>
        <w:t xml:space="preserve"> </w:t>
      </w:r>
      <w:r>
        <w:t xml:space="preserve">relativa del delito coercitivo.</w:t>
      </w:r>
    </w:p>
    <w:p>
      <w:pPr>
        <w:pStyle w:val="BodyText"/>
      </w:pPr>
      <w:r>
        <w:t xml:space="preserve">La teoría de las actividades rutinarias de</w:t>
      </w:r>
      <w:r>
        <w:t xml:space="preserve"> </w:t>
      </w:r>
      <w:r>
        <w:t xml:space="preserve">Cohen and Felson (1979)</w:t>
      </w:r>
      <w:r>
        <w:t xml:space="preserve"> </w:t>
      </w:r>
      <w:r>
        <w:t xml:space="preserve">llega a una predicción</w:t>
      </w:r>
      <w:r>
        <w:t xml:space="preserve"> </w:t>
      </w:r>
      <w:r>
        <w:t xml:space="preserve">equivalente por un mecanismo distinto. El delito ocurre cuando convergen en tiempo y</w:t>
      </w:r>
      <w:r>
        <w:t xml:space="preserve"> </w:t>
      </w:r>
      <w:r>
        <w:t xml:space="preserve">espacio un infractor motivado, un objetivo adecuado y la ausencia de un guardián</w:t>
      </w:r>
      <w:r>
        <w:t xml:space="preserve"> </w:t>
      </w:r>
      <w:r>
        <w:t xml:space="preserve">capaz; los cambios estructurales en las rutinas sociales—hábitos de consumo, patrones</w:t>
      </w:r>
      <w:r>
        <w:t xml:space="preserve"> </w:t>
      </w:r>
      <w:r>
        <w:t xml:space="preserve">de circulación, dinámicas residenciales—alteran la disponibilidad de estas</w:t>
      </w:r>
      <w:r>
        <w:t xml:space="preserve"> </w:t>
      </w:r>
      <w:r>
        <w:t xml:space="preserve">convergencias de manera diferencial según el tipo de delito. Los delitos dependientes</w:t>
      </w:r>
      <w:r>
        <w:t xml:space="preserve"> </w:t>
      </w:r>
      <w:r>
        <w:t xml:space="preserve">de la aglomeración urbana son altamente sensibles a variaciones en la movilidad; los</w:t>
      </w:r>
      <w:r>
        <w:t xml:space="preserve"> </w:t>
      </w:r>
      <w:r>
        <w:t xml:space="preserve">que requieren coerción directa son menos elásticos ante esas mismas variaciones,</w:t>
      </w:r>
      <w:r>
        <w:t xml:space="preserve"> </w:t>
      </w:r>
      <w:r>
        <w:t xml:space="preserve">dado que el infractor que usa la fuerza no requiere condiciones de ausencia o</w:t>
      </w:r>
      <w:r>
        <w:t xml:space="preserve"> </w:t>
      </w:r>
      <w:r>
        <w:t xml:space="preserve">desprotección del objetivo. La evidencia internacional confirma esta heterogeneidad:</w:t>
      </w:r>
      <w:r>
        <w:t xml:space="preserve"> </w:t>
      </w:r>
      <w:r>
        <w:t xml:space="preserve">ante las restricciones de movilidad por COVID-19, los robos dependientes de la</w:t>
      </w:r>
      <w:r>
        <w:t xml:space="preserve"> </w:t>
      </w:r>
      <w:r>
        <w:t xml:space="preserve">aglomeración colapsaron con mayor intensidad y no se recuperaron plenamente tras la</w:t>
      </w:r>
      <w:r>
        <w:t xml:space="preserve"> </w:t>
      </w:r>
      <w:r>
        <w:t xml:space="preserve">normalización, mientras los robos coercitivos mostraron mayor resistencia al ciclo de</w:t>
      </w:r>
      <w:r>
        <w:t xml:space="preserve"> </w:t>
      </w:r>
      <w:r>
        <w:t xml:space="preserve">restricción-reactivación</w:t>
      </w:r>
      <w:r>
        <w:t xml:space="preserve"> </w:t>
      </w:r>
      <w:r>
        <w:t xml:space="preserve">(Ashby 2020; Meyer et al. 2022; Stickle and Felson 2020; Seyidoglu et al. 2024)</w:t>
      </w:r>
      <w:r>
        <w:t xml:space="preserve">.</w:t>
      </w:r>
    </w:p>
    <w:p>
      <w:pPr>
        <w:pStyle w:val="BodyText"/>
      </w:pPr>
      <w:r>
        <w:t xml:space="preserve">Dos perspectivas adicionales predicen específicamente la persistencia del componente</w:t>
      </w:r>
      <w:r>
        <w:t xml:space="preserve"> </w:t>
      </w:r>
      <w:r>
        <w:t xml:space="preserve">coercitivo en contextos de descenso generalizado.</w:t>
      </w:r>
      <w:r>
        <w:t xml:space="preserve"> </w:t>
      </w:r>
      <w:r>
        <w:t xml:space="preserve">Tyler (2006)</w:t>
      </w:r>
      <w:r>
        <w:t xml:space="preserve"> </w:t>
      </w:r>
      <w:r>
        <w:t xml:space="preserve">argumenta que la</w:t>
      </w:r>
      <w:r>
        <w:t xml:space="preserve"> </w:t>
      </w:r>
      <w:r>
        <w:t xml:space="preserve">obediencia voluntaria de la ley depende de la percepción de legitimidad de las</w:t>
      </w:r>
      <w:r>
        <w:t xml:space="preserve"> </w:t>
      </w:r>
      <w:r>
        <w:t xml:space="preserve">instituciones de control: cuando esa legitimidad se erosiona, el control social informal</w:t>
      </w:r>
      <w:r>
        <w:t xml:space="preserve"> </w:t>
      </w:r>
      <w:r>
        <w:t xml:space="preserve">se debilita y aumenta la permisividad ante el delito.</w:t>
      </w:r>
      <w:r>
        <w:t xml:space="preserve"> </w:t>
      </w:r>
      <w:r>
        <w:t xml:space="preserve">Rosenfeld, Abt, and Lopez (2021)</w:t>
      </w:r>
      <w:r>
        <w:t xml:space="preserve"> </w:t>
      </w:r>
      <w:r>
        <w:t xml:space="preserve">documentó</w:t>
      </w:r>
      <w:r>
        <w:t xml:space="preserve"> </w:t>
      </w:r>
      <w:r>
        <w:t xml:space="preserve">este mecanismo en contextos de protesta masiva en Estados Unidos, donde los episodios</w:t>
      </w:r>
      <w:r>
        <w:t xml:space="preserve"> </w:t>
      </w:r>
      <w:r>
        <w:t xml:space="preserve">de deslegitimación policial se asociaron con aumentos significativos en la violencia</w:t>
      </w:r>
      <w:r>
        <w:t xml:space="preserve"> </w:t>
      </w:r>
      <w:r>
        <w:t xml:space="preserve">directa incluso cuando los delitos oportunistas permanecían estables; la evidencia</w:t>
      </w:r>
      <w:r>
        <w:t xml:space="preserve"> </w:t>
      </w:r>
      <w:r>
        <w:t xml:space="preserve">comparada confirma que los episodios de desorden social se asocian específicamente</w:t>
      </w:r>
      <w:r>
        <w:t xml:space="preserve"> </w:t>
      </w:r>
      <w:r>
        <w:t xml:space="preserve">con incrementos en el crimen coercitivo</w:t>
      </w:r>
      <w:r>
        <w:t xml:space="preserve"> </w:t>
      </w:r>
      <w:r>
        <w:t xml:space="preserve">(Bell, Jaitman, and Machin 2014; Mongale 2022)</w:t>
      </w:r>
      <w:r>
        <w:t xml:space="preserve">. Por su parte,</w:t>
      </w:r>
      <w:r>
        <w:t xml:space="preserve"> </w:t>
      </w:r>
      <w:r>
        <w:t xml:space="preserve">Blumstein et al. (1988)</w:t>
      </w:r>
      <w:r>
        <w:t xml:space="preserve"> </w:t>
      </w:r>
      <w:r>
        <w:t xml:space="preserve">documentaron que, en períodos de descenso generalizado de la</w:t>
      </w:r>
      <w:r>
        <w:t xml:space="preserve"> </w:t>
      </w:r>
      <w:r>
        <w:t xml:space="preserve">criminalidad, los delitos de mayor lesividad exhiben mayor persistencia que los</w:t>
      </w:r>
      <w:r>
        <w:t xml:space="preserve"> </w:t>
      </w:r>
      <w:r>
        <w:t xml:space="preserve">oportunistas: cuando las barreras estructurales reducen la delincuencia patrimonial en</w:t>
      </w:r>
      <w:r>
        <w:t xml:space="preserve"> </w:t>
      </w:r>
      <w:r>
        <w:t xml:space="preserve">términos agregados, los delitos cuya lógica no está sujeta a las mismas</w:t>
      </w:r>
      <w:r>
        <w:t xml:space="preserve"> </w:t>
      </w:r>
      <w:r>
        <w:t xml:space="preserve">restricciones de oportunidad muestran mayor resistencia a la baja. El resultado esperado</w:t>
      </w:r>
      <w:r>
        <w:t xml:space="preserve"> </w:t>
      </w:r>
      <w:r>
        <w:t xml:space="preserve">es que el volumen total descienda mientras la composición se desplaza hacia el segmento</w:t>
      </w:r>
      <w:r>
        <w:t xml:space="preserve"> </w:t>
      </w:r>
      <w:r>
        <w:t xml:space="preserve">de mayor lesividad—una paradoja estadística que no es un espejismo numérico, sino la</w:t>
      </w:r>
      <w:r>
        <w:t xml:space="preserve"> </w:t>
      </w:r>
      <w:r>
        <w:t xml:space="preserve">consecuencia directa de la heterogeneidad en la elasticidad de cada tipo de delito.</w:t>
      </w:r>
    </w:p>
    <w:p>
      <w:pPr>
        <w:pStyle w:val="BodyText"/>
      </w:pPr>
      <w:r>
        <w:t xml:space="preserve">Estas cuatro perspectivas generan predicciones aditivas y convergentes para el caso</w:t>
      </w:r>
      <w:r>
        <w:t xml:space="preserve"> </w:t>
      </w:r>
      <w:r>
        <w:t xml:space="preserve">chileno, a las que se añade la emergencia de modalidades organizadas de alta</w:t>
      </w:r>
      <w:r>
        <w:t xml:space="preserve"> </w:t>
      </w:r>
      <w:r>
        <w:t xml:space="preserve">lesividad—portonazos, retención de víctimas, extorsión patrimonial—cuya</w:t>
      </w:r>
      <w:r>
        <w:t xml:space="preserve"> </w:t>
      </w:r>
      <w:r>
        <w:t xml:space="preserve">lógica es organizacional y no oportunista</w:t>
      </w:r>
      <w:r>
        <w:t xml:space="preserve"> </w:t>
      </w:r>
      <w:r>
        <w:t xml:space="preserve">(Greene, Astraín, and Salas 2023; Dammert, Frey, and González 2025)</w:t>
      </w:r>
      <w:r>
        <w:t xml:space="preserve">, lo que</w:t>
      </w:r>
      <w:r>
        <w:t xml:space="preserve"> </w:t>
      </w:r>
      <w:r>
        <w:t xml:space="preserve">refuerza la predicción de un desplazamiento compositivo hacia el segmento coercitivo.</w:t>
      </w:r>
      <w:r>
        <w:t xml:space="preserve"> </w:t>
      </w:r>
      <w:r>
        <w:t xml:space="preserve">La clasificación tricotómica propuesta en la Sección </w:t>
      </w:r>
      <w:hyperlink w:anchor="sub:clasificacion">
        <w:r>
          <w:rPr>
            <w:rStyle w:val="Hyperlink"/>
          </w:rPr>
          <w:t xml:space="preserve">3.2</w:t>
        </w:r>
      </w:hyperlink>
      <w:r>
        <w:t xml:space="preserve"> </w:t>
      </w:r>
      <w:r>
        <w:t xml:space="preserve">está</w:t>
      </w:r>
      <w:r>
        <w:t xml:space="preserve"> </w:t>
      </w:r>
      <w:r>
        <w:t xml:space="preserve">diseñada para separar empíricamente estas señales.</w:t>
      </w:r>
    </w:p>
    <w:bookmarkEnd w:id="11"/>
    <w:bookmarkStart w:id="12" w:name="sub:hipotesis"/>
    <w:p>
      <w:pPr>
        <w:pStyle w:val="Heading2"/>
      </w:pPr>
      <w:r>
        <w:t xml:space="preserve">Hipótesis de investigación</w:t>
      </w:r>
    </w:p>
    <w:p>
      <w:pPr>
        <w:pStyle w:val="FirstParagraph"/>
      </w:pPr>
      <w:r>
        <w:t xml:space="preserve">De la convergencia de estas perspectivas teóricas se derivan tres hipótesis empíricas, verificables con los datos y métodos descritos en la Sección </w:t>
      </w:r>
      <w:hyperlink w:anchor="sec:datos">
        <w:r>
          <w:rPr>
            <w:rStyle w:val="Hyperlink"/>
          </w:rPr>
          <w:t xml:space="preserve">3</w:t>
        </w:r>
      </w:hyperlink>
      <w:r>
        <w:t xml:space="preserve"> </w:t>
      </w:r>
      <w:r>
        <w:t xml:space="preserve">y consistentes con la pregunta central sobre volumen versus composición.</w:t>
      </w:r>
    </w:p>
    <w:p>
      <w:pPr>
        <w:pStyle w:val="DefinitionTerm"/>
      </w:pPr>
      <w:r>
        <w:rPr>
          <w:b/>
          <w:bCs/>
        </w:rPr>
        <w:t xml:space="preserve">H1</w:t>
      </w:r>
      <w:r>
        <w:t xml:space="preserve"> </w:t>
      </w:r>
      <w:r>
        <w:t xml:space="preserve">(Quiebre estructural).</w:t>
      </w:r>
    </w:p>
    <w:p>
      <w:pPr>
        <w:pStyle w:val="Definition"/>
      </w:pPr>
      <w:r>
        <w:t xml:space="preserve">Los robos violentos contra la propiedad en Chile han experimentado un quiebre estructural en su tasa por 100.000 habitantes durante el período 2013–2025, no atribuible a los efectos transitorios del estallido social ni de la pandemia. Este quiebre es predecible desde la perspectiva de la legitimidad institucional</w:t>
      </w:r>
      <w:r>
        <w:t xml:space="preserve"> </w:t>
      </w:r>
      <w:r>
        <w:t xml:space="preserve">(Tyler 2006; Rosenfeld, Abt, and Lopez 2021)</w:t>
      </w:r>
      <w:r>
        <w:t xml:space="preserve"> </w:t>
      </w:r>
      <w:r>
        <w:t xml:space="preserve">y desde la emergencia de modalidades organizadas</w:t>
      </w:r>
      <w:r>
        <w:t xml:space="preserve"> </w:t>
      </w:r>
      <w:r>
        <w:t xml:space="preserve">(Greene, Astraín, and Salas 2023; Dammert, Frey, and González 2025)</w:t>
      </w:r>
      <w:r>
        <w:t xml:space="preserve"> </w:t>
      </w:r>
      <w:r>
        <w:t xml:space="preserve">que no operan bajo la lógica oportunista de los robos sin confrontación.</w:t>
      </w:r>
    </w:p>
    <w:p>
      <w:pPr>
        <w:pStyle w:val="DefinitionTerm"/>
      </w:pPr>
      <w:r>
        <w:rPr>
          <w:b/>
          <w:bCs/>
        </w:rPr>
        <w:t xml:space="preserve">H2</w:t>
      </w:r>
      <w:r>
        <w:t xml:space="preserve"> </w:t>
      </w:r>
      <w:r>
        <w:t xml:space="preserve">(Cambio compositivo).</w:t>
      </w:r>
    </w:p>
    <w:p>
      <w:pPr>
        <w:pStyle w:val="Definition"/>
      </w:pPr>
      <w:r>
        <w:t xml:space="preserve">El incremento en la participación relativa de los robos violentos sobre el total patrimonial refleja un desplazamiento en la</w:t>
      </w:r>
      <w:r>
        <w:t xml:space="preserve"> </w:t>
      </w:r>
      <w:r>
        <w:rPr>
          <w:i/>
          <w:iCs/>
        </w:rPr>
        <w:t xml:space="preserve">composición</w:t>
      </w:r>
      <w:r>
        <w:t xml:space="preserve">—mayor proporción de eventos coercitivos—más que un aumento proporcional en el</w:t>
      </w:r>
      <w:r>
        <w:t xml:space="preserve"> </w:t>
      </w:r>
      <w:r>
        <w:rPr>
          <w:i/>
          <w:iCs/>
        </w:rPr>
        <w:t xml:space="preserve">volumen</w:t>
      </w:r>
      <w:r>
        <w:t xml:space="preserve"> </w:t>
      </w:r>
      <w:r>
        <w:t xml:space="preserve">total, consistente con la heterogeneidad de elasticidades ante shocks estructurales que predicen tanto la teoría económica del delito</w:t>
      </w:r>
      <w:r>
        <w:t xml:space="preserve"> </w:t>
      </w:r>
      <w:r>
        <w:t xml:space="preserve">(Becker 1968)</w:t>
      </w:r>
      <w:r>
        <w:t xml:space="preserve"> </w:t>
      </w:r>
      <w:r>
        <w:t xml:space="preserve">como la perspectiva de las actividades rutinarias</w:t>
      </w:r>
      <w:r>
        <w:t xml:space="preserve"> </w:t>
      </w:r>
      <w:r>
        <w:t xml:space="preserve">(Cohen and Felson 1979)</w:t>
      </w:r>
      <w:r>
        <w:t xml:space="preserve">.</w:t>
      </w:r>
    </w:p>
    <w:p>
      <w:pPr>
        <w:pStyle w:val="DefinitionTerm"/>
      </w:pPr>
      <w:r>
        <w:rPr>
          <w:b/>
          <w:bCs/>
        </w:rPr>
        <w:t xml:space="preserve">H3</w:t>
      </w:r>
      <w:r>
        <w:t xml:space="preserve"> </w:t>
      </w:r>
      <w:r>
        <w:t xml:space="preserve">(Heterogeneidad regional).</w:t>
      </w:r>
    </w:p>
    <w:p>
      <w:pPr>
        <w:pStyle w:val="Definition"/>
      </w:pPr>
      <w:r>
        <w:t xml:space="preserve">El cambio estructural es espacialmente heterogéneo y distinguible de tendencias en delitos de control: los placebos negativos no siguen la misma trayectoria que los robos violentos bajo la misma especificación, y las diferencias inter-regionales reflejan la heterogeneidad en los mecanismos teóricos identificados (crimen organizado en la macrozona Norte, conflicto territorial en el sur, dinámicas metropolitanas de violencia organizada).</w:t>
      </w:r>
    </w:p>
    <w:bookmarkEnd w:id="12"/>
    <w:bookmarkEnd w:id="13"/>
    <w:bookmarkStart w:id="25" w:name="sec:datos"/>
    <w:p>
      <w:pPr>
        <w:pStyle w:val="Heading1"/>
      </w:pPr>
      <w:r>
        <w:t xml:space="preserve">Marco de datos y estrategia empírica</w:t>
      </w:r>
    </w:p>
    <w:bookmarkStart w:id="15" w:name="X268897f495f188f44790dfd510a97133f752d05"/>
    <w:p>
      <w:pPr>
        <w:pStyle w:val="Heading2"/>
      </w:pPr>
      <w:r>
        <w:t xml:space="preserve">Fuentes de datos, muestra y períodos de análisis</w:t>
      </w:r>
    </w:p>
    <w:p>
      <w:pPr>
        <w:pStyle w:val="FirstParagraph"/>
      </w:pPr>
      <w:r>
        <w:t xml:space="preserve">El análisis se basa en los registros administrativos de Carabineros de Chile</w:t>
      </w:r>
      <w:r>
        <w:t xml:space="preserve"> </w:t>
      </w:r>
      <w:r>
        <w:t xml:space="preserve">(CCH), publicados por el Instituto Nacional de Estadísticas en las Estadísticas</w:t>
      </w:r>
      <w:r>
        <w:t xml:space="preserve"> </w:t>
      </w:r>
      <w:r>
        <w:t xml:space="preserve">de Seguridad y Justicia</w:t>
      </w:r>
      <w:r>
        <w:t xml:space="preserve"> </w:t>
      </w:r>
      <w:r>
        <w:t xml:space="preserve">(Instituto Nacional de Estadísticas 2026)</w:t>
      </w:r>
      <w:r>
        <w:t xml:space="preserve">. El universo de análisis es un panel</w:t>
      </w:r>
      <w:r>
        <w:t xml:space="preserve"> </w:t>
      </w:r>
      <w:r>
        <w:t xml:space="preserve">elaborado exclusivamente sobre la base de denuncias formales por delitos contra</w:t>
      </w:r>
      <w:r>
        <w:t xml:space="preserve"> </w:t>
      </w:r>
      <w:r>
        <w:t xml:space="preserve">la propiedad para las 16 regiones del país en el período enero de 2013 a</w:t>
      </w:r>
      <w:r>
        <w:t xml:space="preserve"> </w:t>
      </w:r>
      <w:r>
        <w:t xml:space="preserve">diciembre de 2025, generando</w:t>
      </w:r>
      <w:r>
        <w:t xml:space="preserve"> </w:t>
      </w:r>
      <m:oMath>
        <m:r>
          <m:t>N</m:t>
        </m:r>
        <m:r>
          <m:rPr>
            <m:sty m:val="p"/>
          </m:rPr>
          <m:t>=</m:t>
        </m:r>
        <m:r>
          <m:t>16</m:t>
        </m:r>
        <m:r>
          <m:rPr>
            <m:sty m:val="p"/>
          </m:rPr>
          <m:t>×</m:t>
        </m:r>
        <m:r>
          <m:t>156</m:t>
        </m:r>
        <m:r>
          <m:rPr>
            <m:sty m:val="p"/>
          </m:rPr>
          <m:t>=</m:t>
        </m:r>
        <m:r>
          <m:t>2</m:t>
        </m:r>
        <m:r>
          <m:rPr>
            <m:sty m:val="p"/>
          </m:rPr>
          <m:t>,</m:t>
        </m:r>
        <m:r>
          <m:t>496</m:t>
        </m:r>
      </m:oMath>
      <w:r>
        <w:t xml:space="preserve"> </w:t>
      </w:r>
      <w:r>
        <w:t xml:space="preserve">observaciones</w:t>
      </w:r>
      <w:r>
        <w:t xml:space="preserve"> </w:t>
      </w:r>
      <w:r>
        <w:t xml:space="preserve">región-mes. Las denuncias operan como indicador de la criminalidad conocida por</w:t>
      </w:r>
      <w:r>
        <w:t xml:space="preserve"> </w:t>
      </w:r>
      <w:r>
        <w:t xml:space="preserve">las policías (</w:t>
      </w:r>
      <w:r>
        <w:rPr>
          <w:i/>
          <w:iCs/>
        </w:rPr>
        <w:t xml:space="preserve">crimes known to police</w:t>
      </w:r>
      <w:r>
        <w:t xml:space="preserve">): hechos que llegan a conocimiento</w:t>
      </w:r>
      <w:r>
        <w:t xml:space="preserve"> </w:t>
      </w:r>
      <w:r>
        <w:t xml:space="preserve">de Carabineros por denuncia directa de la víctima o terceros. Las detenciones</w:t>
      </w:r>
      <w:r>
        <w:t xml:space="preserve"> </w:t>
      </w:r>
      <w:r>
        <w:t xml:space="preserve">en flagrancia se excluyen deliberadamente de la variable dependiente, de modo que</w:t>
      </w:r>
      <w:r>
        <w:t xml:space="preserve"> </w:t>
      </w:r>
      <w:r>
        <w:t xml:space="preserve">el indicador mida la demanda ciudadana de seguridad—victimización</w:t>
      </w:r>
      <w:r>
        <w:t xml:space="preserve"> </w:t>
      </w:r>
      <w:r>
        <w:t xml:space="preserve">aparente—sin contaminarse con variaciones en la oferta institucional</w:t>
      </w:r>
      <w:r>
        <w:t xml:space="preserve"> </w:t>
      </w:r>
      <w:r>
        <w:t xml:space="preserve">(proactividad policial o intensidad de operativos focalizados). La diferencia entre</w:t>
      </w:r>
      <w:r>
        <w:t xml:space="preserve"> </w:t>
      </w:r>
      <w:r>
        <w:t xml:space="preserve">este registro y la criminalidad real—la cifra negra—depende de la propensión</w:t>
      </w:r>
      <w:r>
        <w:t xml:space="preserve"> </w:t>
      </w:r>
      <w:r>
        <w:t xml:space="preserve">a denunciar, el reconocimiento del hecho como delito y la confianza institucional.</w:t>
      </w:r>
    </w:p>
    <w:p>
      <w:pPr>
        <w:pStyle w:val="BodyText"/>
      </w:pPr>
      <w:r>
        <w:t xml:space="preserve">El Registro de Homicidios Confirmados del Centro de Prevención de Homicidios</w:t>
      </w:r>
      <w:r>
        <w:t xml:space="preserve"> </w:t>
      </w:r>
      <w:r>
        <w:t xml:space="preserve">Violentos (CPHDV) se utiliza como fuente de triangulación. Con conteos anuales</w:t>
      </w:r>
      <w:r>
        <w:t xml:space="preserve"> </w:t>
      </w:r>
      <w:r>
        <w:t xml:space="preserve">validados interinstitucionalmente para el período 2018–2025 y cifra negra</w:t>
      </w:r>
      <w:r>
        <w:t xml:space="preserve"> </w:t>
      </w:r>
      <w:r>
        <w:t xml:space="preserve">prácticamente nula—cada homicidio genera obligación de investigación</w:t>
      </w:r>
      <w:r>
        <w:t xml:space="preserve"> </w:t>
      </w:r>
      <w:r>
        <w:t xml:space="preserve">independiente de la denuncia formal—, este registro provee validación externa</w:t>
      </w:r>
      <w:r>
        <w:t xml:space="preserve"> </w:t>
      </w:r>
      <w:r>
        <w:t xml:space="preserve">de las tendencias inferidas desde los datos CCH.</w:t>
      </w:r>
    </w:p>
    <w:p>
      <w:pPr>
        <w:pStyle w:val="BodyText"/>
      </w:pPr>
      <w:r>
        <w:t xml:space="preserve">Las tasas de delincuencia se calculan con dos fuentes del Instituto Nacional de</w:t>
      </w:r>
      <w:r>
        <w:t xml:space="preserve"> </w:t>
      </w:r>
      <w:r>
        <w:t xml:space="preserve">Estadísticas. Para el panel regional—base del análisis inferencial—se emplean</w:t>
      </w:r>
      <w:r>
        <w:t xml:space="preserve"> </w:t>
      </w:r>
      <w:r>
        <w:t xml:space="preserve">las proyecciones con Base Censo 2017 desagregadas por región. Para las estadísticas</w:t>
      </w:r>
      <w:r>
        <w:t xml:space="preserve"> </w:t>
      </w:r>
      <w:r>
        <w:t xml:space="preserve">descriptivas nacionales se utilizan las proyecciones con Base Censo 2024,</w:t>
      </w:r>
      <w:r>
        <w:t xml:space="preserve"> </w:t>
      </w:r>
      <w:r>
        <w:t xml:space="preserve">metodológicamente superiores por incorporar evidencia censal más</w:t>
      </w:r>
      <w:r>
        <w:t xml:space="preserve"> </w:t>
      </w:r>
      <w:r>
        <w:t xml:space="preserve">reciente.</w:t>
      </w:r>
      <w:r>
        <w:rPr>
          <w:rStyle w:val="FootnoteReference"/>
        </w:rPr>
        <w:footnoteReference w:id="14"/>
      </w:r>
      <w:r>
        <w:t xml:space="preserve"> </w:t>
      </w:r>
      <w:r>
        <w:t xml:space="preserve">Sobre las proyecciones INE Base 2017 se aplica una corrección migratoria</w:t>
      </w:r>
      <w:r>
        <w:t xml:space="preserve"> </w:t>
      </w:r>
      <w:r>
        <w:t xml:space="preserve">acumulativa sumando los flujos de residencias temporales y definitivas otorgadas por</w:t>
      </w:r>
      <w:r>
        <w:t xml:space="preserve"> </w:t>
      </w:r>
      <w:r>
        <w:t xml:space="preserve">SERMIG desde 2018.</w:t>
      </w:r>
    </w:p>
    <w:bookmarkEnd w:id="15"/>
    <w:bookmarkStart w:id="19" w:name="sub:clasificacion"/>
    <w:p>
      <w:pPr>
        <w:pStyle w:val="Heading2"/>
      </w:pPr>
      <w:r>
        <w:t xml:space="preserve">Clasificación tricotómica de la violencia patrimonial</w:t>
      </w:r>
    </w:p>
    <w:p>
      <w:pPr>
        <w:pStyle w:val="FirstParagraph"/>
      </w:pPr>
      <w:r>
        <w:t xml:space="preserve">La Codificación Nacional Penal (CNP) ordena el catálogo de delitos</w:t>
      </w:r>
      <w:r>
        <w:t xml:space="preserve"> </w:t>
      </w:r>
      <w:r>
        <w:t xml:space="preserve">mediante Códigos Únicos de Materia (CUM). Entre éstos, los delitos</w:t>
      </w:r>
      <w:r>
        <w:t xml:space="preserve"> </w:t>
      </w:r>
      <w:r>
        <w:t xml:space="preserve">contra la propiedad quedan organizados en dos grandes bloques:</w:t>
      </w:r>
      <w:r>
        <w:t xml:space="preserve"> </w:t>
      </w:r>
      <w:r>
        <w:rPr>
          <w:i/>
          <w:iCs/>
        </w:rPr>
        <w:t xml:space="preserve">Robos</w:t>
      </w:r>
      <w:r>
        <w:t xml:space="preserve"> </w:t>
      </w:r>
      <w:r>
        <w:t xml:space="preserve">—que incluye tanto los robos con confrontación directa</w:t>
      </w:r>
      <w:r>
        <w:t xml:space="preserve"> </w:t>
      </w:r>
      <w:r>
        <w:t xml:space="preserve">o intimidación como el robo por sorpresa— y</w:t>
      </w:r>
      <w:r>
        <w:t xml:space="preserve"> </w:t>
      </w:r>
      <w:r>
        <w:rPr>
          <w:i/>
          <w:iCs/>
        </w:rPr>
        <w:t xml:space="preserve">Robos no violentos</w:t>
      </w:r>
      <w:r>
        <w:t xml:space="preserve">.</w:t>
      </w:r>
    </w:p>
    <w:p>
      <w:pPr>
        <w:pStyle w:val="BodyText"/>
      </w:pPr>
      <w:r>
        <w:t xml:space="preserve">La</w:t>
      </w:r>
      <w:r>
        <w:t xml:space="preserve"> </w:t>
      </w:r>
      <w:r>
        <w:rPr>
          <w:i/>
          <w:iCs/>
        </w:rPr>
        <w:t xml:space="preserve">International Classification of Crime for Statistical Purposes</w:t>
      </w:r>
      <w:r>
        <w:t xml:space="preserve"> </w:t>
      </w:r>
      <w:r>
        <w:t xml:space="preserve">(ICCS) de la UNODC</w:t>
      </w:r>
      <w:r>
        <w:t xml:space="preserve"> </w:t>
      </w:r>
      <w:r>
        <w:t xml:space="preserve">(United Nations Office on Drugs and Crime 2015)</w:t>
      </w:r>
      <w:r>
        <w:t xml:space="preserve"> </w:t>
      </w:r>
      <w:r>
        <w:t xml:space="preserve">propone, en cambio, un criterio diferente: sitúa el</w:t>
      </w:r>
      <w:r>
        <w:t xml:space="preserve"> </w:t>
      </w:r>
      <w:r>
        <w:t xml:space="preserve">robo por sorpresa o carterismo bajo la sección 05 (</w:t>
      </w:r>
      <w:r>
        <w:rPr>
          <w:i/>
          <w:iCs/>
        </w:rPr>
        <w:t xml:space="preserve">Actos contra</w:t>
      </w:r>
      <w:r>
        <w:rPr>
          <w:i/>
          <w:iCs/>
        </w:rPr>
        <w:t xml:space="preserve"> </w:t>
      </w:r>
      <w:r>
        <w:rPr>
          <w:i/>
          <w:iCs/>
        </w:rPr>
        <w:t xml:space="preserve">la propiedad solamente</w:t>
      </w:r>
      <w:r>
        <w:t xml:space="preserve">), y no en la sección 04 (</w:t>
      </w:r>
      <w:r>
        <w:rPr>
          <w:i/>
          <w:iCs/>
        </w:rPr>
        <w:t xml:space="preserve">Actos contra la</w:t>
      </w:r>
      <w:r>
        <w:rPr>
          <w:i/>
          <w:iCs/>
        </w:rPr>
        <w:t xml:space="preserve"> </w:t>
      </w:r>
      <w:r>
        <w:rPr>
          <w:i/>
          <w:iCs/>
        </w:rPr>
        <w:t xml:space="preserve">propiedad que entrañan violencia o amenaza de violencia contra las</w:t>
      </w:r>
      <w:r>
        <w:rPr>
          <w:i/>
          <w:iCs/>
        </w:rPr>
        <w:t xml:space="preserve"> </w:t>
      </w:r>
      <w:r>
        <w:rPr>
          <w:i/>
          <w:iCs/>
        </w:rPr>
        <w:t xml:space="preserve">personas</w:t>
      </w:r>
      <w:r>
        <w:t xml:space="preserve">). El fundamento es que el arrebatamiento sin confrontación</w:t>
      </w:r>
      <w:r>
        <w:t xml:space="preserve"> </w:t>
      </w:r>
      <w:r>
        <w:t xml:space="preserve">armada —aunque pueda implicar contacto físico momentáneo— no</w:t>
      </w:r>
      <w:r>
        <w:t xml:space="preserve"> </w:t>
      </w:r>
      <w:r>
        <w:t xml:space="preserve">entraña la misma dimensión de violencia interpersonal que el robo con</w:t>
      </w:r>
      <w:r>
        <w:t xml:space="preserve"> </w:t>
      </w:r>
      <w:r>
        <w:t xml:space="preserve">intimidación de arma o con resultado lesivo. En ese sentido, la diferencia</w:t>
      </w:r>
      <w:r>
        <w:t xml:space="preserve"> </w:t>
      </w:r>
      <w:r>
        <w:t xml:space="preserve">entre la CNP y la ICCS no es de jerarquía sino de criterio: ambas reflejan</w:t>
      </w:r>
      <w:r>
        <w:t xml:space="preserve"> </w:t>
      </w:r>
      <w:r>
        <w:t xml:space="preserve">formas distintas —y en parte complementarias— de clasificar la violencia</w:t>
      </w:r>
      <w:r>
        <w:t xml:space="preserve"> </w:t>
      </w:r>
      <w:r>
        <w:t xml:space="preserve">patrimonial.</w:t>
      </w:r>
    </w:p>
    <w:p>
      <w:pPr>
        <w:pStyle w:val="BodyText"/>
      </w:pPr>
      <w:r>
        <w:t xml:space="preserve">Desde el punto de vista analítico, esta distinción importa. El robo</w:t>
      </w:r>
      <w:r>
        <w:t xml:space="preserve"> </w:t>
      </w:r>
      <w:r>
        <w:t xml:space="preserve">por sorpresa y los robos con confrontación directa presentan dinámicas</w:t>
      </w:r>
      <w:r>
        <w:t xml:space="preserve"> </w:t>
      </w:r>
      <w:r>
        <w:t xml:space="preserve">cualitativamente distintas ante shocks externos: el estallido social de 2019</w:t>
      </w:r>
      <w:r>
        <w:t xml:space="preserve"> </w:t>
      </w:r>
      <w:r>
        <w:t xml:space="preserve">elevó con mayor intensidad los robos con confrontación directa, mientras</w:t>
      </w:r>
      <w:r>
        <w:t xml:space="preserve"> </w:t>
      </w:r>
      <w:r>
        <w:t xml:space="preserve">que la pandemia colapsó de forma más pronunciada los arrebatos en el</w:t>
      </w:r>
      <w:r>
        <w:t xml:space="preserve"> </w:t>
      </w:r>
      <w:r>
        <w:t xml:space="preserve">espacio público —fuertemente dependientes de la aglomeración de</w:t>
      </w:r>
      <w:r>
        <w:t xml:space="preserve"> </w:t>
      </w:r>
      <w:r>
        <w:t xml:space="preserve">transeuntes y del transporte colectivo. Al agrupar ambas modalidades bajo</w:t>
      </w:r>
      <w:r>
        <w:t xml:space="preserve"> </w:t>
      </w:r>
      <w:r>
        <w:t xml:space="preserve">una misma categoría, como hace la CNP, se enmascara esa heterogeneidad.</w:t>
      </w:r>
      <w:r>
        <w:t xml:space="preserve"> </w:t>
      </w:r>
      <w:r>
        <w:t xml:space="preserve">En consecuencia, el artículo adoptó una</w:t>
      </w:r>
      <w:r>
        <w:t xml:space="preserve"> </w:t>
      </w:r>
      <w:r>
        <w:rPr>
          <w:b/>
          <w:bCs/>
        </w:rPr>
        <w:t xml:space="preserve">clasificación tricotómica</w:t>
      </w:r>
      <w:r>
        <w:t xml:space="preserve"> </w:t>
      </w:r>
      <w:r>
        <w:t xml:space="preserve">(C3)</w:t>
      </w:r>
      <w:r>
        <w:t xml:space="preserve"> </w:t>
      </w:r>
      <w:r>
        <w:t xml:space="preserve">que introduce el robo por sorpresa como categoría independiente. Sus tres</w:t>
      </w:r>
      <w:r>
        <w:t xml:space="preserve"> </w:t>
      </w:r>
      <w:r>
        <w:t xml:space="preserve">componentes —detallados en la Tabla </w:t>
      </w:r>
      <w:hyperlink w:anchor="tab:c3">
        <w:r>
          <w:rPr>
            <w:rStyle w:val="Hyperlink"/>
          </w:rPr>
          <w:t xml:space="preserve">1</w:t>
        </w:r>
      </w:hyperlink>
      <w:r>
        <w:t xml:space="preserve">— son:</w:t>
      </w:r>
    </w:p>
    <w:p>
      <w:pPr>
        <w:numPr>
          <w:ilvl w:val="0"/>
          <w:numId w:val="1001"/>
        </w:numPr>
      </w:pPr>
      <w:r>
        <w:rPr>
          <w:b/>
          <w:bCs/>
        </w:rPr>
        <w:t xml:space="preserve">Robos violentos:</w:t>
      </w:r>
      <w:r>
        <w:t xml:space="preserve"> </w:t>
      </w:r>
      <w:r>
        <w:t xml:space="preserve">fuerza directa sobre las personas,</w:t>
      </w:r>
      <w:r>
        <w:t xml:space="preserve"> </w:t>
      </w:r>
      <w:r>
        <w:t xml:space="preserve">intimidación grave o resultado lesivo.</w:t>
      </w:r>
      <w:r>
        <w:rPr>
          <w:rStyle w:val="FootnoteReference"/>
        </w:rPr>
        <w:footnoteReference w:id="16"/>
      </w:r>
    </w:p>
    <w:p>
      <w:pPr>
        <w:numPr>
          <w:ilvl w:val="0"/>
          <w:numId w:val="1001"/>
        </w:numPr>
      </w:pPr>
      <w:r>
        <w:rPr>
          <w:b/>
          <w:bCs/>
        </w:rPr>
        <w:t xml:space="preserve">Robos por sorpresa:</w:t>
      </w:r>
      <w:r>
        <w:t xml:space="preserve"> </w:t>
      </w:r>
      <w:r>
        <w:t xml:space="preserve">arrebatamiento sin confrontación armada,</w:t>
      </w:r>
      <w:r>
        <w:t xml:space="preserve"> </w:t>
      </w:r>
      <w:r>
        <w:t xml:space="preserve">tanto en espacios públicos abiertos como en el transporte</w:t>
      </w:r>
      <w:r>
        <w:t xml:space="preserve"> </w:t>
      </w:r>
      <w:r>
        <w:t xml:space="preserve">colectivo.</w:t>
      </w:r>
      <w:r>
        <w:rPr>
          <w:rStyle w:val="FootnoteReference"/>
        </w:rPr>
        <w:footnoteReference w:id="17"/>
      </w:r>
    </w:p>
    <w:p>
      <w:pPr>
        <w:numPr>
          <w:ilvl w:val="0"/>
          <w:numId w:val="1001"/>
        </w:numPr>
      </w:pPr>
      <w:r>
        <w:rPr>
          <w:b/>
          <w:bCs/>
        </w:rPr>
        <w:t xml:space="preserve">Robos no violentos:</w:t>
      </w:r>
      <w:r>
        <w:t xml:space="preserve"> </w:t>
      </w:r>
      <w:r>
        <w:t xml:space="preserve">sustracción sin confrontación</w:t>
      </w:r>
      <w:r>
        <w:t xml:space="preserve"> </w:t>
      </w:r>
      <w:r>
        <w:t xml:space="preserve">directa con la víctima.</w:t>
      </w:r>
    </w:p>
    <w:p>
      <w:pPr>
        <w:pStyle w:val="FirstParagraph"/>
      </w:pPr>
      <w:r>
        <w:t xml:space="preserve">Las alternativas dicotómicas —clasificación institucional C1, que</w:t>
      </w:r>
      <w:r>
        <w:t xml:space="preserve"> </w:t>
      </w:r>
      <w:r>
        <w:t xml:space="preserve">mantiene el robo por sorpresa dentro del bloque de robos violentos, y la</w:t>
      </w:r>
      <w:r>
        <w:t xml:space="preserve"> </w:t>
      </w:r>
      <w:r>
        <w:t xml:space="preserve">variante ajustada C2— se evalúan formalmente en el Apéndice </w:t>
      </w:r>
      <w:hyperlink w:anchor="ap:clasif">
        <w:r>
          <w:rPr>
            <w:rStyle w:val="Hyperlink"/>
          </w:rPr>
          <w:t xml:space="preserve">8</w:t>
        </w:r>
      </w:hyperlink>
      <w:r>
        <w:t xml:space="preserve">.</w:t>
      </w:r>
      <w:r>
        <w:t xml:space="preserve"> </w:t>
      </w:r>
      <w:r>
        <w:t xml:space="preserve">Su comparación con C3 muestra que fusionar el robo por sorpresa con los</w:t>
      </w:r>
      <w:r>
        <w:t xml:space="preserve"> </w:t>
      </w:r>
      <w:r>
        <w:t xml:space="preserve">robos violentos oscurece las diferencias de respuesta ante shocks de</w:t>
      </w:r>
      <w:r>
        <w:t xml:space="preserve"> </w:t>
      </w:r>
      <w:r>
        <w:t xml:space="preserve">movilidad, lo que valida la separación tricotómica como la</w:t>
      </w:r>
      <w:r>
        <w:t xml:space="preserve"> </w:t>
      </w:r>
      <w:r>
        <w:t xml:space="preserve">parametrización más informativa disponible con datos administrativos</w:t>
      </w:r>
      <w:r>
        <w:t xml:space="preserve"> </w:t>
      </w:r>
      <w:r>
        <w:t xml:space="preserve">chilenos.</w:t>
      </w:r>
    </w:p>
    <w:p>
      <w:pPr>
        <w:pStyle w:val="BodyText"/>
      </w:pPr>
      <w:r>
        <w:t xml:space="preserve">max width=</w:t>
      </w:r>
    </w:p>
    <w:bookmarkStart w:id="18" w:name="tab:c3"/>
    <w:p>
      <w:pPr>
        <w:pStyle w:val="TableCaption"/>
      </w:pPr>
      <w:r>
        <w:t xml:space="preserve">Clasificación tricotómica C3: códigos únicos de materia (CUM) incluidos</w:t>
      </w:r>
    </w:p>
    <w:tbl>
      <w:tblPr>
        <w:tblStyle w:val="Table"/>
        <w:tblW w:type="auto" w:w="0"/>
        <w:tblLook w:firstRow="1" w:lastRow="0" w:firstColumn="0" w:lastColumn="0" w:noHBand="0" w:noVBand="0" w:val="0020"/>
        <w:tblCaption w:val="Clasificación tricotómica C3: códigos únicos de materia (CUM) incluidos"/>
      </w:tblPr>
      <w:tblGrid>
        <w:gridCol w:w="2640"/>
        <w:gridCol w:w="2640"/>
        <w:gridCol w:w="2640"/>
      </w:tblGrid>
      <w:tr>
        <w:trPr>
          <w:tblHeader w:val="on"/>
        </w:trPr>
        <w:tc>
          <w:tcPr/>
          <w:p>
            <w:pPr>
              <w:pStyle w:val="Compact"/>
              <w:jc w:val="left"/>
            </w:pPr>
            <w:r>
              <w:rPr>
                <w:b/>
                <w:bCs/>
              </w:rPr>
              <w:t xml:space="preserve">Categoría</w:t>
            </w:r>
          </w:p>
        </w:tc>
        <w:tc>
          <w:tcPr/>
          <w:p>
            <w:pPr>
              <w:pStyle w:val="Compact"/>
              <w:jc w:val="right"/>
            </w:pPr>
            <w:r>
              <w:rPr>
                <w:b/>
                <w:bCs/>
              </w:rPr>
              <w:t xml:space="preserve">CUM</w:t>
            </w:r>
          </w:p>
        </w:tc>
        <w:tc>
          <w:tcPr/>
          <w:p>
            <w:pPr>
              <w:pStyle w:val="Compact"/>
              <w:jc w:val="left"/>
            </w:pPr>
            <w:r>
              <w:rPr>
                <w:b/>
                <w:bCs/>
              </w:rPr>
              <w:t xml:space="preserve">Glosa</w:t>
            </w:r>
          </w:p>
        </w:tc>
      </w:tr>
      <w:tr>
        <w:tc>
          <w:tcPr>
            <w:gridSpan w:val="3"/>
          </w:tcPr>
          <w:p>
            <w:pPr>
              <w:pStyle w:val="Compact"/>
              <w:jc w:val="left"/>
            </w:pPr>
            <w:r>
              <w:rPr>
                <w:i/>
                <w:iCs/>
              </w:rPr>
              <w:t xml:space="preserve">Robos violentos</w:t>
            </w:r>
          </w:p>
        </w:tc>
      </w:tr>
      <w:tr>
        <w:tc>
          <w:tcPr/>
          <w:p>
            <w:pPr>
              <w:pStyle w:val="Compact"/>
            </w:pPr>
          </w:p>
        </w:tc>
        <w:tc>
          <w:tcPr/>
          <w:p>
            <w:pPr>
              <w:pStyle w:val="Compact"/>
              <w:jc w:val="right"/>
            </w:pPr>
            <w:r>
              <w:t xml:space="preserve">802</w:t>
            </w:r>
          </w:p>
        </w:tc>
        <w:tc>
          <w:tcPr/>
          <w:p>
            <w:pPr>
              <w:pStyle w:val="Compact"/>
              <w:jc w:val="left"/>
            </w:pPr>
            <w:r>
              <w:t xml:space="preserve">Robo con intimidación</w:t>
            </w:r>
          </w:p>
        </w:tc>
      </w:tr>
      <w:tr>
        <w:tc>
          <w:tcPr/>
          <w:p>
            <w:pPr>
              <w:pStyle w:val="Compact"/>
            </w:pPr>
          </w:p>
        </w:tc>
        <w:tc>
          <w:tcPr/>
          <w:p>
            <w:pPr>
              <w:pStyle w:val="Compact"/>
              <w:jc w:val="right"/>
            </w:pPr>
            <w:r>
              <w:t xml:space="preserve">803</w:t>
            </w:r>
          </w:p>
        </w:tc>
        <w:tc>
          <w:tcPr/>
          <w:p>
            <w:pPr>
              <w:pStyle w:val="Compact"/>
              <w:jc w:val="left"/>
            </w:pPr>
            <w:r>
              <w:t xml:space="preserve">Robo con violencia</w:t>
            </w:r>
          </w:p>
        </w:tc>
      </w:tr>
      <w:tr>
        <w:tc>
          <w:tcPr/>
          <w:p>
            <w:pPr>
              <w:pStyle w:val="Compact"/>
            </w:pPr>
          </w:p>
        </w:tc>
        <w:tc>
          <w:tcPr/>
          <w:p>
            <w:pPr>
              <w:pStyle w:val="Compact"/>
              <w:jc w:val="right"/>
            </w:pPr>
            <w:r>
              <w:t xml:space="preserve">827</w:t>
            </w:r>
          </w:p>
        </w:tc>
        <w:tc>
          <w:tcPr/>
          <w:p>
            <w:pPr>
              <w:pStyle w:val="Compact"/>
              <w:jc w:val="left"/>
            </w:pPr>
            <w:r>
              <w:t xml:space="preserve">Robo con homicidio</w:t>
            </w:r>
          </w:p>
        </w:tc>
      </w:tr>
      <w:tr>
        <w:tc>
          <w:tcPr/>
          <w:p>
            <w:pPr>
              <w:pStyle w:val="Compact"/>
            </w:pPr>
          </w:p>
        </w:tc>
        <w:tc>
          <w:tcPr/>
          <w:p>
            <w:pPr>
              <w:pStyle w:val="Compact"/>
              <w:jc w:val="right"/>
            </w:pPr>
            <w:r>
              <w:t xml:space="preserve">828</w:t>
            </w:r>
          </w:p>
        </w:tc>
        <w:tc>
          <w:tcPr/>
          <w:p>
            <w:pPr>
              <w:pStyle w:val="Compact"/>
              <w:jc w:val="left"/>
            </w:pPr>
            <w:r>
              <w:t xml:space="preserve">Robo con violación</w:t>
            </w:r>
          </w:p>
        </w:tc>
      </w:tr>
      <w:tr>
        <w:tc>
          <w:tcPr/>
          <w:p>
            <w:pPr>
              <w:pStyle w:val="Compact"/>
            </w:pPr>
          </w:p>
        </w:tc>
        <w:tc>
          <w:tcPr/>
          <w:p>
            <w:pPr>
              <w:pStyle w:val="Compact"/>
              <w:jc w:val="right"/>
            </w:pPr>
            <w:r>
              <w:t xml:space="preserve">829</w:t>
            </w:r>
          </w:p>
        </w:tc>
        <w:tc>
          <w:tcPr/>
          <w:p>
            <w:pPr>
              <w:pStyle w:val="Compact"/>
              <w:jc w:val="left"/>
            </w:pPr>
            <w:r>
              <w:t xml:space="preserve">Robo con castración, mutilación o lesiones graves</w:t>
            </w:r>
          </w:p>
        </w:tc>
      </w:tr>
      <w:tr>
        <w:tc>
          <w:tcPr/>
          <w:p>
            <w:pPr>
              <w:pStyle w:val="Compact"/>
            </w:pPr>
          </w:p>
        </w:tc>
        <w:tc>
          <w:tcPr/>
          <w:p>
            <w:pPr>
              <w:pStyle w:val="Compact"/>
              <w:jc w:val="right"/>
            </w:pPr>
            <w:r>
              <w:t xml:space="preserve">861</w:t>
            </w:r>
          </w:p>
        </w:tc>
        <w:tc>
          <w:tcPr/>
          <w:p>
            <w:pPr>
              <w:pStyle w:val="Compact"/>
              <w:jc w:val="left"/>
            </w:pPr>
            <w:r>
              <w:t xml:space="preserve">Robo con lesiones graves</w:t>
            </w:r>
          </w:p>
        </w:tc>
      </w:tr>
      <w:tr>
        <w:tc>
          <w:tcPr/>
          <w:p>
            <w:pPr>
              <w:pStyle w:val="Compact"/>
            </w:pPr>
          </w:p>
        </w:tc>
        <w:tc>
          <w:tcPr/>
          <w:p>
            <w:pPr>
              <w:pStyle w:val="Compact"/>
              <w:jc w:val="right"/>
            </w:pPr>
            <w:r>
              <w:t xml:space="preserve">862</w:t>
            </w:r>
          </w:p>
        </w:tc>
        <w:tc>
          <w:tcPr/>
          <w:p>
            <w:pPr>
              <w:pStyle w:val="Compact"/>
              <w:jc w:val="left"/>
            </w:pPr>
            <w:r>
              <w:t xml:space="preserve">Robo con retención de víctimas o lesiones graves</w:t>
            </w:r>
          </w:p>
        </w:tc>
      </w:tr>
      <w:tr>
        <w:tc>
          <w:tcPr/>
          <w:p>
            <w:pPr>
              <w:pStyle w:val="Compact"/>
            </w:pPr>
          </w:p>
        </w:tc>
        <w:tc>
          <w:tcPr/>
          <w:p>
            <w:pPr>
              <w:pStyle w:val="Compact"/>
              <w:jc w:val="right"/>
            </w:pPr>
            <w:r>
              <w:t xml:space="preserve">867</w:t>
            </w:r>
          </w:p>
        </w:tc>
        <w:tc>
          <w:tcPr/>
          <w:p>
            <w:pPr>
              <w:pStyle w:val="Compact"/>
              <w:jc w:val="left"/>
            </w:pPr>
            <w:r>
              <w:t xml:space="preserve">Robo de vehículo con violencia o intimidación</w:t>
            </w:r>
            <w:r>
              <w:rPr>
                <w:vertAlign w:val="superscript"/>
              </w:rPr>
              <w:t xml:space="preserve">a</w:t>
            </w:r>
          </w:p>
        </w:tc>
      </w:tr>
      <w:tr>
        <w:tc>
          <w:tcPr>
            <w:gridSpan w:val="3"/>
          </w:tcPr>
          <w:p>
            <w:pPr>
              <w:pStyle w:val="Compact"/>
              <w:jc w:val="left"/>
            </w:pPr>
            <w:r>
              <w:rPr>
                <w:i/>
                <w:iCs/>
              </w:rPr>
              <w:t xml:space="preserve">Robos por sorpresa</w:t>
            </w:r>
          </w:p>
        </w:tc>
      </w:tr>
      <w:tr>
        <w:tc>
          <w:tcPr/>
          <w:p>
            <w:pPr>
              <w:pStyle w:val="Compact"/>
            </w:pPr>
          </w:p>
        </w:tc>
        <w:tc>
          <w:tcPr/>
          <w:p>
            <w:pPr>
              <w:pStyle w:val="Compact"/>
              <w:jc w:val="right"/>
            </w:pPr>
            <w:r>
              <w:t xml:space="preserve">804</w:t>
            </w:r>
          </w:p>
        </w:tc>
        <w:tc>
          <w:tcPr/>
          <w:p>
            <w:pPr>
              <w:pStyle w:val="Compact"/>
              <w:jc w:val="left"/>
            </w:pPr>
            <w:r>
              <w:t xml:space="preserve">Robo por sorpresa (</w:t>
            </w:r>
            <w:r>
              <w:t xml:space="preserve">“lanzazo”</w:t>
            </w:r>
            <w:r>
              <w:t xml:space="preserve">)</w:t>
            </w:r>
          </w:p>
        </w:tc>
      </w:tr>
      <w:tr>
        <w:tc>
          <w:tcPr>
            <w:gridSpan w:val="3"/>
          </w:tcPr>
          <w:p>
            <w:pPr>
              <w:pStyle w:val="Compact"/>
              <w:jc w:val="left"/>
            </w:pPr>
            <w:r>
              <w:rPr>
                <w:i/>
                <w:iCs/>
              </w:rPr>
              <w:t xml:space="preserve">Robos no violentos</w:t>
            </w:r>
          </w:p>
        </w:tc>
      </w:tr>
      <w:tr>
        <w:tc>
          <w:tcPr/>
          <w:p>
            <w:pPr>
              <w:pStyle w:val="Compact"/>
            </w:pPr>
          </w:p>
        </w:tc>
        <w:tc>
          <w:tcPr/>
          <w:p>
            <w:pPr>
              <w:pStyle w:val="Compact"/>
              <w:jc w:val="right"/>
            </w:pPr>
            <w:r>
              <w:t xml:space="preserve">808</w:t>
            </w:r>
          </w:p>
        </w:tc>
        <w:tc>
          <w:tcPr/>
          <w:p>
            <w:pPr>
              <w:pStyle w:val="Compact"/>
              <w:jc w:val="left"/>
            </w:pPr>
            <w:r>
              <w:t xml:space="preserve">Robo en bienes nacionales de uso público (incluye accesorios automotrices)</w:t>
            </w:r>
          </w:p>
        </w:tc>
      </w:tr>
      <w:tr>
        <w:tc>
          <w:tcPr/>
          <w:p>
            <w:pPr>
              <w:pStyle w:val="Compact"/>
            </w:pPr>
          </w:p>
        </w:tc>
        <w:tc>
          <w:tcPr/>
          <w:p>
            <w:pPr>
              <w:pStyle w:val="Compact"/>
              <w:jc w:val="right"/>
            </w:pPr>
            <w:r>
              <w:t xml:space="preserve">809</w:t>
            </w:r>
          </w:p>
        </w:tc>
        <w:tc>
          <w:tcPr/>
          <w:p>
            <w:pPr>
              <w:pStyle w:val="Compact"/>
              <w:jc w:val="left"/>
            </w:pPr>
            <w:r>
              <w:t xml:space="preserve">Robo en lugar habitado</w:t>
            </w:r>
          </w:p>
        </w:tc>
      </w:tr>
      <w:tr>
        <w:tc>
          <w:tcPr/>
          <w:p>
            <w:pPr>
              <w:pStyle w:val="Compact"/>
            </w:pPr>
          </w:p>
        </w:tc>
        <w:tc>
          <w:tcPr/>
          <w:p>
            <w:pPr>
              <w:pStyle w:val="Compact"/>
              <w:jc w:val="right"/>
            </w:pPr>
            <w:r>
              <w:t xml:space="preserve">810</w:t>
            </w:r>
          </w:p>
        </w:tc>
        <w:tc>
          <w:tcPr/>
          <w:p>
            <w:pPr>
              <w:pStyle w:val="Compact"/>
              <w:jc w:val="left"/>
            </w:pPr>
            <w:r>
              <w:t xml:space="preserve">Robo en lugar no habitado</w:t>
            </w:r>
          </w:p>
        </w:tc>
      </w:tr>
      <w:tr>
        <w:tc>
          <w:tcPr/>
          <w:p>
            <w:pPr>
              <w:pStyle w:val="Compact"/>
            </w:pPr>
          </w:p>
        </w:tc>
        <w:tc>
          <w:tcPr/>
          <w:p>
            <w:pPr>
              <w:pStyle w:val="Compact"/>
              <w:jc w:val="right"/>
            </w:pPr>
            <w:r>
              <w:t xml:space="preserve">821, 826, 846–848, 853, 13028</w:t>
            </w:r>
          </w:p>
        </w:tc>
        <w:tc>
          <w:tcPr/>
          <w:p>
            <w:pPr>
              <w:pStyle w:val="Compact"/>
              <w:jc w:val="left"/>
            </w:pPr>
            <w:r>
              <w:t xml:space="preserve">Hurtos simples y afines</w:t>
            </w:r>
          </w:p>
        </w:tc>
      </w:tr>
      <w:tr>
        <w:tc>
          <w:tcPr/>
          <w:p>
            <w:pPr>
              <w:pStyle w:val="Compact"/>
            </w:pPr>
          </w:p>
        </w:tc>
        <w:tc>
          <w:tcPr/>
          <w:p>
            <w:pPr>
              <w:pStyle w:val="Compact"/>
              <w:jc w:val="right"/>
            </w:pPr>
            <w:r>
              <w:t xml:space="preserve">831, 868</w:t>
            </w:r>
          </w:p>
        </w:tc>
        <w:tc>
          <w:tcPr/>
          <w:p>
            <w:pPr>
              <w:pStyle w:val="Compact"/>
              <w:jc w:val="left"/>
            </w:pPr>
            <w:r>
              <w:t xml:space="preserve">Robo de vehículo sin violencia</w:t>
            </w:r>
          </w:p>
        </w:tc>
      </w:tr>
      <w:tr>
        <w:tc>
          <w:tcPr/>
          <w:p>
            <w:pPr>
              <w:pStyle w:val="Compact"/>
            </w:pPr>
          </w:p>
        </w:tc>
        <w:tc>
          <w:tcPr/>
          <w:p>
            <w:pPr>
              <w:pStyle w:val="Compact"/>
              <w:jc w:val="right"/>
            </w:pPr>
            <w:r>
              <w:t xml:space="preserve">858</w:t>
            </w:r>
          </w:p>
        </w:tc>
        <w:tc>
          <w:tcPr/>
          <w:p>
            <w:pPr>
              <w:pStyle w:val="Compact"/>
              <w:jc w:val="left"/>
            </w:pPr>
            <w:r>
              <w:t xml:space="preserve">Robo con fuerza de cajeros automáticos</w:t>
            </w:r>
          </w:p>
        </w:tc>
      </w:tr>
      <w:tr>
        <w:tc>
          <w:tcPr/>
          <w:p>
            <w:pPr>
              <w:pStyle w:val="Compact"/>
            </w:pPr>
          </w:p>
        </w:tc>
        <w:tc>
          <w:tcPr/>
          <w:p>
            <w:pPr>
              <w:pStyle w:val="Compact"/>
              <w:jc w:val="right"/>
            </w:pPr>
            <w:r>
              <w:t xml:space="preserve">870–872</w:t>
            </w:r>
          </w:p>
        </w:tc>
        <w:tc>
          <w:tcPr/>
          <w:p>
            <w:pPr>
              <w:pStyle w:val="Compact"/>
              <w:jc w:val="left"/>
            </w:pPr>
            <w:r>
              <w:t xml:space="preserve">Robo/hurto en ocasión de calamidad; saqueo</w:t>
            </w:r>
          </w:p>
        </w:tc>
      </w:tr>
      <w:tr>
        <w:tc>
          <w:tcPr/>
          <w:p>
            <w:pPr>
              <w:pStyle w:val="Compact"/>
            </w:pPr>
          </w:p>
        </w:tc>
        <w:tc>
          <w:tcPr/>
          <w:p>
            <w:pPr>
              <w:pStyle w:val="Compact"/>
              <w:jc w:val="right"/>
            </w:pPr>
            <w:r>
              <w:t xml:space="preserve">891, 892</w:t>
            </w:r>
          </w:p>
        </w:tc>
        <w:tc>
          <w:tcPr/>
          <w:p>
            <w:pPr>
              <w:pStyle w:val="Compact"/>
              <w:jc w:val="left"/>
            </w:pPr>
            <w:r>
              <w:t xml:space="preserve">Sustracción de madera</w:t>
            </w:r>
          </w:p>
        </w:tc>
      </w:tr>
    </w:tbl>
    <w:bookmarkEnd w:id="18"/>
    <w:p>
      <w:pPr>
        <w:pStyle w:val="BodyText"/>
      </w:pPr>
      <w:r>
        <w:rPr>
          <w:i/>
          <w:iCs/>
        </w:rPr>
        <w:t xml:space="preserve">Nota:</w:t>
      </w:r>
      <w:r>
        <w:t xml:space="preserve"> </w:t>
      </w:r>
      <w:r>
        <w:rPr>
          <w:vertAlign w:val="superscript"/>
        </w:rPr>
        <w:t xml:space="preserve">a</w:t>
      </w:r>
      <w:r>
        <w:t xml:space="preserve"> </w:t>
      </w:r>
      <w:r>
        <w:t xml:space="preserve">Incluye las modalidades popularmente conocidas como</w:t>
      </w:r>
      <w:r>
        <w:t xml:space="preserve"> </w:t>
      </w:r>
      <w:r>
        <w:rPr>
          <w:i/>
          <w:iCs/>
        </w:rPr>
        <w:t xml:space="preserve">portonazo</w:t>
      </w:r>
      <w:r>
        <w:t xml:space="preserve"> </w:t>
      </w:r>
      <w:r>
        <w:t xml:space="preserve">(sustraccción violenta del vehículo mientras el conductor</w:t>
      </w:r>
      <w:r>
        <w:t xml:space="preserve"> </w:t>
      </w:r>
      <w:r>
        <w:t xml:space="preserve">ingresa o sale de un estacionamiento) y</w:t>
      </w:r>
      <w:r>
        <w:t xml:space="preserve"> </w:t>
      </w:r>
      <w:r>
        <w:rPr>
          <w:i/>
          <w:iCs/>
        </w:rPr>
        <w:t xml:space="preserve">encerrona</w:t>
      </w:r>
      <w:r>
        <w:t xml:space="preserve"> </w:t>
      </w:r>
      <w:r>
        <w:t xml:space="preserve">(sustraccción violenta</w:t>
      </w:r>
      <w:r>
        <w:t xml:space="preserve"> </w:t>
      </w:r>
      <w:r>
        <w:t xml:space="preserve">al bloquear el paso vial). Este código registra volumen significativo en el sistema</w:t>
      </w:r>
      <w:r>
        <w:t xml:space="preserve"> </w:t>
      </w:r>
      <w:r>
        <w:t xml:space="preserve">desde 2020; su efecto sobre los resultados se evalúa en la Sección </w:t>
      </w:r>
      <w:hyperlink w:anchor="sec:robustez">
        <w:r>
          <w:rPr>
            <w:rStyle w:val="Hyperlink"/>
          </w:rPr>
          <w:t xml:space="preserve">5</w:t>
        </w:r>
      </w:hyperlink>
      <w:r>
        <w:t xml:space="preserve">.</w:t>
      </w:r>
      <w:r>
        <w:br/>
      </w:r>
      <w:r>
        <w:rPr>
          <w:i/>
          <w:iCs/>
        </w:rPr>
        <w:t xml:space="preserve">Nota:</w:t>
      </w:r>
      <w:r>
        <w:t xml:space="preserve"> </w:t>
      </w:r>
      <w:r>
        <w:t xml:space="preserve">quedan fuera de las agrupaciones los códigos de receptación</w:t>
      </w:r>
      <w:r>
        <w:t xml:space="preserve"> </w:t>
      </w:r>
      <w:r>
        <w:t xml:space="preserve">(CUM 812, 864, 869, 2009 y 12053). Referencia para la columna de hurtos:</w:t>
      </w:r>
      <w:r>
        <w:t xml:space="preserve"> </w:t>
      </w:r>
      <w:r>
        <w:t xml:space="preserve">1 UTM = $69</w:t>
      </w:r>
      <w:r>
        <w:t xml:space="preserve">,</w:t>
      </w:r>
      <w:r>
        <w:t xml:space="preserve">542 CLP (diciembre de 2025).</w:t>
      </w:r>
    </w:p>
    <w:bookmarkEnd w:id="19"/>
    <w:bookmarkStart w:id="20" w:name="sub:pop"/>
    <w:p>
      <w:pPr>
        <w:pStyle w:val="Heading2"/>
      </w:pPr>
      <w:r>
        <w:t xml:space="preserve">Denominadores demográficos y corrección migratoria</w:t>
      </w:r>
    </w:p>
    <w:p>
      <w:pPr>
        <w:pStyle w:val="FirstParagraph"/>
      </w:pPr>
      <w:r>
        <w:t xml:space="preserve">Las proyecciones INE Base 2017 proveen estimaciones anuales de población por región.</w:t>
      </w:r>
      <w:r>
        <w:t xml:space="preserve"> </w:t>
      </w:r>
      <w:r>
        <w:t xml:space="preserve">Para obtener la exposición logarítmica (</w:t>
      </w:r>
      <w:r>
        <w:rPr>
          <w:i/>
          <w:iCs/>
        </w:rPr>
        <w:t xml:space="preserve">offset</w:t>
      </w:r>
      <w:r>
        <w:t xml:space="preserve">) mensual requerida por el modelo, se interpola linealmente entre</w:t>
      </w:r>
      <w:r>
        <w:t xml:space="preserve"> </w:t>
      </w:r>
      <w:r>
        <w:t xml:space="preserve">años contiguos:</w:t>
      </w:r>
    </w:p>
    <w:p>
      <w:pPr>
        <w:pStyle w:val="BodyText"/>
      </w:pPr>
      <m:oMathPara>
        <m:oMathParaPr>
          <m:jc m:val="center"/>
        </m:oMathParaPr>
        <m:oMath>
          <m:sSub>
            <m:e>
              <m:r>
                <m:rPr>
                  <m:nor/>
                  <m:sty m:val="p"/>
                </m:rPr>
                <m:t>Pop</m:t>
              </m:r>
            </m:e>
            <m:sub>
              <m:r>
                <m:rPr>
                  <m:nor/>
                  <m:sty m:val="p"/>
                </m:rPr>
                <m:t>mes</m:t>
              </m:r>
            </m:sub>
          </m:sSub>
          <m:r>
            <m:rPr>
              <m:sty m:val="p"/>
            </m:rPr>
            <m:t>(</m:t>
          </m:r>
          <m:r>
            <m:t>r</m:t>
          </m:r>
          <m:r>
            <m:rPr>
              <m:sty m:val="p"/>
            </m:rPr>
            <m:t>,</m:t>
          </m:r>
          <m:r>
            <m:t>y</m:t>
          </m:r>
          <m:r>
            <m:rPr>
              <m:sty m:val="p"/>
            </m:rPr>
            <m:t>,</m:t>
          </m:r>
          <m:r>
            <m:t>m</m:t>
          </m:r>
          <m:r>
            <m:rPr>
              <m:sty m:val="p"/>
            </m:rPr>
            <m:t>)</m:t>
          </m:r>
          <m:r>
            <m:rPr>
              <m:sty m:val="p"/>
            </m:rPr>
            <m:t>=</m:t>
          </m:r>
          <m:sSub>
            <m:e>
              <m:r>
                <m:rPr>
                  <m:nor/>
                  <m:sty m:val="p"/>
                </m:rPr>
                <m:t>Pop</m:t>
              </m:r>
            </m:e>
            <m:sub>
              <m:r>
                <m:rPr>
                  <m:nor/>
                  <m:sty m:val="p"/>
                </m:rPr>
                <m:t>corr</m:t>
              </m:r>
            </m:sub>
          </m:sSub>
          <m:r>
            <m:rPr>
              <m:sty m:val="p"/>
            </m:rPr>
            <m:t>(</m:t>
          </m:r>
          <m:r>
            <m:t>r</m:t>
          </m:r>
          <m:r>
            <m:rPr>
              <m:sty m:val="p"/>
            </m:rPr>
            <m:t>,</m:t>
          </m:r>
          <m:r>
            <m:t>y</m:t>
          </m:r>
          <m:r>
            <m:rPr>
              <m:sty m:val="p"/>
            </m:rPr>
            <m:t>)</m:t>
          </m:r>
          <m:r>
            <m:rPr>
              <m:sty m:val="p"/>
            </m:rPr>
            <m:t>+</m:t>
          </m:r>
          <m:f>
            <m:fPr>
              <m:type m:val="bar"/>
            </m:fPr>
            <m:num>
              <m:r>
                <m:t>m</m:t>
              </m:r>
              <m:r>
                <m:rPr>
                  <m:sty m:val="p"/>
                </m:rPr>
                <m:t>−</m:t>
              </m:r>
              <m:r>
                <m:t>6</m:t>
              </m:r>
              <m:r>
                <m:rPr>
                  <m:sty m:val="p"/>
                </m:rPr>
                <m:t>,</m:t>
              </m:r>
              <m:r>
                <m:t>5</m:t>
              </m:r>
            </m:num>
            <m:den>
              <m:r>
                <m:t>12</m:t>
              </m:r>
            </m:den>
          </m:f>
          <m:d>
            <m:dPr>
              <m:begChr m:val="["/>
              <m:sepChr m:val=""/>
              <m:endChr m:val="]"/>
              <m:grow/>
            </m:dPr>
            <m:e>
              <m:sSub>
                <m:e>
                  <m:r>
                    <m:rPr>
                      <m:nor/>
                      <m:sty m:val="p"/>
                    </m:rPr>
                    <m:t>Pop</m:t>
                  </m:r>
                </m:e>
                <m:sub>
                  <m:r>
                    <m:rPr>
                      <m:nor/>
                      <m:sty m:val="p"/>
                    </m:rPr>
                    <m:t>corr</m:t>
                  </m:r>
                </m:sub>
              </m:sSub>
              <m:r>
                <m:rPr>
                  <m:sty m:val="p"/>
                </m:rPr>
                <m:t>(</m:t>
              </m:r>
              <m:r>
                <m:t>r</m:t>
              </m:r>
              <m:r>
                <m:rPr>
                  <m:sty m:val="p"/>
                </m:rPr>
                <m:t>,</m:t>
              </m:r>
              <m:r>
                <m:t>y</m:t>
              </m:r>
              <m:r>
                <m:rPr>
                  <m:sty m:val="p"/>
                </m:rPr>
                <m:t>+</m:t>
              </m:r>
              <m:r>
                <m:t>1</m:t>
              </m:r>
              <m:r>
                <m:rPr>
                  <m:sty m:val="p"/>
                </m:rPr>
                <m:t>)</m:t>
              </m:r>
              <m:r>
                <m:rPr>
                  <m:sty m:val="p"/>
                </m:rPr>
                <m:t>−</m:t>
              </m:r>
              <m:sSub>
                <m:e>
                  <m:r>
                    <m:rPr>
                      <m:nor/>
                      <m:sty m:val="p"/>
                    </m:rPr>
                    <m:t>Pop</m:t>
                  </m:r>
                </m:e>
                <m:sub>
                  <m:r>
                    <m:rPr>
                      <m:nor/>
                      <m:sty m:val="p"/>
                    </m:rPr>
                    <m:t>corr</m:t>
                  </m:r>
                </m:sub>
              </m:sSub>
              <m:r>
                <m:rPr>
                  <m:sty m:val="p"/>
                </m:rPr>
                <m:t>(</m:t>
              </m:r>
              <m:r>
                <m:t>r</m:t>
              </m:r>
              <m:r>
                <m:rPr>
                  <m:sty m:val="p"/>
                </m:rPr>
                <m:t>,</m:t>
              </m:r>
              <m:r>
                <m:t>y</m:t>
              </m:r>
              <m:r>
                <m:rPr>
                  <m:sty m:val="p"/>
                </m:rPr>
                <m:t>)</m:t>
              </m:r>
            </m:e>
          </m:d>
          <m:r>
            <m:rPr>
              <m:sty m:val="p"/>
            </m:rPr>
            <m:t>,</m:t>
          </m:r>
        </m:oMath>
      </m:oMathPara>
    </w:p>
    <w:p>
      <w:pPr>
        <w:pStyle w:val="FirstParagraph"/>
      </w:pPr>
      <w:r>
        <w:t xml:space="preserve">donde</w:t>
      </w:r>
      <w:r>
        <w:t xml:space="preserve"> </w:t>
      </w:r>
      <m:oMath>
        <m:r>
          <m:t>m</m:t>
        </m:r>
        <m:r>
          <m:rPr>
            <m:sty m:val="p"/>
          </m:rPr>
          <m:t>∈</m:t>
        </m:r>
        <m:r>
          <m:rPr>
            <m:sty m:val="p"/>
          </m:rPr>
          <m:t>{</m:t>
        </m:r>
        <m:r>
          <m:t>1</m:t>
        </m:r>
        <m:r>
          <m:rPr>
            <m:sty m:val="p"/>
          </m:rPr>
          <m:t>,</m:t>
        </m:r>
        <m:r>
          <m:rPr>
            <m:sty m:val="p"/>
          </m:rPr>
          <m:t>…</m:t>
        </m:r>
        <m:r>
          <m:rPr>
            <m:sty m:val="p"/>
          </m:rPr>
          <m:t>,</m:t>
        </m:r>
        <m:r>
          <m:t>12</m:t>
        </m:r>
        <m:r>
          <m:rPr>
            <m:sty m:val="p"/>
          </m:rPr>
          <m:t>}</m:t>
        </m:r>
      </m:oMath>
      <w:r>
        <w:t xml:space="preserve"> </w:t>
      </w:r>
      <w:r>
        <w:t xml:space="preserve">es el mes del año. El denominador corregido incorpora</w:t>
      </w:r>
      <w:r>
        <w:t xml:space="preserve"> </w:t>
      </w:r>
      <w:r>
        <w:t xml:space="preserve">los flujos migratorios post-Censo 2017 mediante el acumulado de residencias definitivas</w:t>
      </w:r>
      <w:r>
        <w:t xml:space="preserve"> </w:t>
      </w:r>
      <w:r>
        <w:t xml:space="preserve">y temporales otorgadas por SERMIG desde 2018:</w:t>
      </w:r>
    </w:p>
    <w:p>
      <w:pPr>
        <w:pStyle w:val="BodyText"/>
      </w:pPr>
      <m:oMathPara>
        <m:oMathParaPr>
          <m:jc m:val="center"/>
        </m:oMathParaPr>
        <m:oMath>
          <m:sSub>
            <m:e>
              <m:r>
                <m:rPr>
                  <m:nor/>
                  <m:sty m:val="p"/>
                </m:rPr>
                <m:t>Pop</m:t>
              </m:r>
            </m:e>
            <m:sub>
              <m:r>
                <m:rPr>
                  <m:nor/>
                  <m:sty m:val="p"/>
                </m:rPr>
                <m:t>corr</m:t>
              </m:r>
            </m:sub>
          </m:sSub>
          <m:r>
            <m:rPr>
              <m:sty m:val="p"/>
            </m:rPr>
            <m:t>(</m:t>
          </m:r>
          <m:r>
            <m:t>r</m:t>
          </m:r>
          <m:r>
            <m:rPr>
              <m:sty m:val="p"/>
            </m:rPr>
            <m:t>,</m:t>
          </m:r>
          <m:r>
            <m:t>t</m:t>
          </m:r>
          <m:r>
            <m:rPr>
              <m:sty m:val="p"/>
            </m:rPr>
            <m:t>)</m:t>
          </m:r>
          <m:r>
            <m:rPr>
              <m:sty m:val="p"/>
            </m:rPr>
            <m:t>=</m:t>
          </m:r>
          <m:sSub>
            <m:e>
              <m:r>
                <m:rPr>
                  <m:nor/>
                  <m:sty m:val="p"/>
                </m:rPr>
                <m:t>Pop</m:t>
              </m:r>
            </m:e>
            <m:sub>
              <m:r>
                <m:rPr>
                  <m:nor/>
                  <m:sty m:val="p"/>
                </m:rPr>
                <m:t>INE</m:t>
              </m:r>
            </m:sub>
          </m:sSub>
          <m:r>
            <m:rPr>
              <m:sty m:val="p"/>
            </m:rPr>
            <m:t>(</m:t>
          </m:r>
          <m:r>
            <m:t>r</m:t>
          </m:r>
          <m:r>
            <m:rPr>
              <m:sty m:val="p"/>
            </m:rPr>
            <m:t>,</m:t>
          </m:r>
          <m:r>
            <m:t>t</m:t>
          </m:r>
          <m:r>
            <m:rPr>
              <m:sty m:val="p"/>
            </m:rPr>
            <m:t>)</m:t>
          </m:r>
          <m:r>
            <m:rPr>
              <m:sty m:val="p"/>
            </m:rPr>
            <m:t>+</m:t>
          </m:r>
          <m:nary>
            <m:naryPr>
              <m:chr m:val="∑"/>
              <m:limLoc m:val="undOvr"/>
              <m:subHide m:val="off"/>
              <m:supHide m:val="off"/>
            </m:naryPr>
            <m:sub>
              <m:r>
                <m:t>y</m:t>
              </m:r>
              <m:r>
                <m:rPr>
                  <m:sty m:val="p"/>
                </m:rPr>
                <m:t>=</m:t>
              </m:r>
              <m:r>
                <m:t>2018</m:t>
              </m:r>
            </m:sub>
            <m:sup>
              <m:r>
                <m:t>t</m:t>
              </m:r>
            </m:sup>
            <m:e>
              <m:d>
                <m:dPr>
                  <m:begChr m:val="["/>
                  <m:sepChr m:val=""/>
                  <m:endChr m:val="]"/>
                  <m:grow/>
                </m:dPr>
                <m:e>
                  <m:sSub>
                    <m:e>
                      <m:r>
                        <m:rPr>
                          <m:nor/>
                          <m:sty m:val="p"/>
                        </m:rPr>
                        <m:t>RD</m:t>
                      </m:r>
                    </m:e>
                    <m:sub>
                      <m:r>
                        <m:rPr>
                          <m:nor/>
                          <m:sty m:val="p"/>
                        </m:rPr>
                        <m:t>otorga</m:t>
                      </m:r>
                    </m:sub>
                  </m:sSub>
                  <m:r>
                    <m:rPr>
                      <m:sty m:val="p"/>
                    </m:rPr>
                    <m:t>(</m:t>
                  </m:r>
                  <m:r>
                    <m:t>r</m:t>
                  </m:r>
                  <m:r>
                    <m:rPr>
                      <m:sty m:val="p"/>
                    </m:rPr>
                    <m:t>,</m:t>
                  </m:r>
                  <m:r>
                    <m:t>y</m:t>
                  </m:r>
                  <m:r>
                    <m:rPr>
                      <m:sty m:val="p"/>
                    </m:rPr>
                    <m:t>)</m:t>
                  </m:r>
                  <m:r>
                    <m:rPr>
                      <m:sty m:val="p"/>
                    </m:rPr>
                    <m:t>+</m:t>
                  </m:r>
                  <m:sSub>
                    <m:e>
                      <m:r>
                        <m:rPr>
                          <m:nor/>
                          <m:sty m:val="p"/>
                        </m:rPr>
                        <m:t>RT</m:t>
                      </m:r>
                    </m:e>
                    <m:sub>
                      <m:r>
                        <m:rPr>
                          <m:nor/>
                          <m:sty m:val="p"/>
                        </m:rPr>
                        <m:t>otorga</m:t>
                      </m:r>
                    </m:sub>
                  </m:sSub>
                  <m:r>
                    <m:rPr>
                      <m:sty m:val="p"/>
                    </m:rPr>
                    <m:t>(</m:t>
                  </m:r>
                  <m:r>
                    <m:t>r</m:t>
                  </m:r>
                  <m:r>
                    <m:rPr>
                      <m:sty m:val="p"/>
                    </m:rPr>
                    <m:t>,</m:t>
                  </m:r>
                  <m:r>
                    <m:t>y</m:t>
                  </m:r>
                  <m:r>
                    <m:rPr>
                      <m:sty m:val="p"/>
                    </m:rPr>
                    <m:t>)</m:t>
                  </m:r>
                </m:e>
              </m:d>
            </m:e>
          </m:nary>
          <m:r>
            <m:rPr>
              <m:sty m:val="p"/>
            </m:rPr>
            <m:t>.</m:t>
          </m:r>
        </m:oMath>
      </m:oMathPara>
    </w:p>
    <w:p>
      <w:pPr>
        <w:pStyle w:val="FirstParagraph"/>
      </w:pPr>
      <w:r>
        <w:t xml:space="preserve">Esta corrección (donde RD corresponde a Residencias Definitivas y RT a Residencias Temporales)</w:t>
      </w:r>
      <w:r>
        <w:t xml:space="preserve"> </w:t>
      </w:r>
      <w:r>
        <w:t xml:space="preserve">es una cota inferior de la población real, pues solo captura</w:t>
      </w:r>
      <w:r>
        <w:t xml:space="preserve"> </w:t>
      </w:r>
      <w:r>
        <w:t xml:space="preserve">migrantes formalmente regularizados. La sensibilidad a supuestos sobre la población</w:t>
      </w:r>
      <w:r>
        <w:t xml:space="preserve"> </w:t>
      </w:r>
      <w:r>
        <w:t xml:space="preserve">irregular se evalúa en la Sección </w:t>
      </w:r>
      <w:hyperlink w:anchor="sec:robustez">
        <w:r>
          <w:rPr>
            <w:rStyle w:val="Hyperlink"/>
          </w:rPr>
          <w:t xml:space="preserve">5</w:t>
        </w:r>
      </w:hyperlink>
      <w:r>
        <w:t xml:space="preserve">.</w:t>
      </w:r>
    </w:p>
    <w:p>
      <w:pPr>
        <w:pStyle w:val="BodyText"/>
      </w:pPr>
      <w:r>
        <w:t xml:space="preserve">A lo largo del análisis comparativo, el período de referencia o</w:t>
      </w:r>
      <w:r>
        <w:t xml:space="preserve"> </w:t>
      </w:r>
      <w:r>
        <w:rPr>
          <w:i/>
          <w:iCs/>
        </w:rPr>
        <w:t xml:space="preserve">línea base</w:t>
      </w:r>
      <w:r>
        <w:t xml:space="preserve"> </w:t>
      </w:r>
      <w:r>
        <w:t xml:space="preserve">corresponde a 2016–2019: el primer quiebre estructural del ratio (Q1 de</w:t>
      </w:r>
      <w:r>
        <w:t xml:space="preserve"> </w:t>
      </w:r>
      <w:r>
        <w:rPr>
          <w:i/>
          <w:iCs/>
        </w:rPr>
        <w:t xml:space="preserve">Bai-Perron</w:t>
      </w:r>
      <w:r>
        <w:t xml:space="preserve">, mayo de 2015) marca el final del período inicial de estabilización, y el estallido social de octubre de 2019 cierra la línea base por la arriba. El período de comparación reciente es 2022–2025, coincidente con el cuarto tramo del spline (Spline 4) y con la fase post-pandemia de reactivación y posterior moderación.</w:t>
      </w:r>
    </w:p>
    <w:bookmarkEnd w:id="20"/>
    <w:bookmarkStart w:id="24" w:name="estrategia-de-estimación"/>
    <w:p>
      <w:pPr>
        <w:pStyle w:val="Heading2"/>
      </w:pPr>
      <w:r>
        <w:t xml:space="preserve">Estrategia de estimación</w:t>
      </w:r>
    </w:p>
    <w:p>
      <w:pPr>
        <w:pStyle w:val="FirstParagraph"/>
      </w:pPr>
      <w:r>
        <w:t xml:space="preserve">Sea</w:t>
      </w:r>
      <w:r>
        <w:t xml:space="preserve"> </w:t>
      </w:r>
      <m:oMath>
        <m:sSub>
          <m:e>
            <m:r>
              <m:t>Y</m:t>
            </m:r>
          </m:e>
          <m:sub>
            <m:r>
              <m:t>r</m:t>
            </m:r>
            <m:r>
              <m:t>m</m:t>
            </m:r>
          </m:sub>
        </m:sSub>
      </m:oMath>
      <w:r>
        <w:t xml:space="preserve"> </w:t>
      </w:r>
      <w:r>
        <w:t xml:space="preserve">el conteo mensual de casos policiales en la región</w:t>
      </w:r>
      <w:r>
        <w:t xml:space="preserve"> </w:t>
      </w:r>
      <m:oMath>
        <m:r>
          <m:t>r</m:t>
        </m:r>
      </m:oMath>
      <w:r>
        <w:t xml:space="preserve"> </w:t>
      </w:r>
      <w:r>
        <w:t xml:space="preserve">en el mes</w:t>
      </w:r>
      <w:r>
        <w:t xml:space="preserve"> </w:t>
      </w:r>
      <m:oMath>
        <m:r>
          <m:t>m</m:t>
        </m:r>
      </m:oMath>
      <w:r>
        <w:t xml:space="preserve">.</w:t>
      </w:r>
      <w:r>
        <w:t xml:space="preserve"> </w:t>
      </w:r>
      <w:r>
        <w:t xml:space="preserve">El modelo principal especifica:</w:t>
      </w:r>
    </w:p>
    <w:p>
      <w:pPr>
        <w:pStyle w:val="BodyText"/>
      </w:pPr>
      <m:oMathPara>
        <m:oMathParaPr>
          <m:jc m:val="center"/>
        </m:oMathParaPr>
        <m:oMath>
          <m:r>
            <m:rPr>
              <m:sty m:val="p"/>
            </m:rPr>
            <m:t>ln</m:t>
          </m:r>
          <m:r>
            <m:rPr>
              <m:sty m:val="p"/>
            </m:rPr>
            <m:t>(</m:t>
          </m:r>
          <m:sSub>
            <m:e>
              <m:r>
                <m:t>μ</m:t>
              </m:r>
            </m:e>
            <m:sub>
              <m:r>
                <m:t>r</m:t>
              </m:r>
              <m:r>
                <m:t>m</m:t>
              </m:r>
            </m:sub>
          </m:sSub>
          <m:r>
            <m:rPr>
              <m:sty m:val="p"/>
            </m:rPr>
            <m:t>)</m:t>
          </m:r>
          <m:r>
            <m:rPr>
              <m:sty m:val="p"/>
            </m:rPr>
            <m:t>=</m:t>
          </m:r>
          <m:nary>
            <m:naryPr>
              <m:chr m:val="∑"/>
              <m:limLoc m:val="undOvr"/>
              <m:subHide m:val="off"/>
              <m:supHide m:val="off"/>
            </m:naryPr>
            <m:sub>
              <m:r>
                <m:t>k</m:t>
              </m:r>
              <m:r>
                <m:rPr>
                  <m:sty m:val="p"/>
                </m:rPr>
                <m:t>=</m:t>
              </m:r>
              <m:r>
                <m:t>2</m:t>
              </m:r>
            </m:sub>
            <m:sup>
              <m:r>
                <m:t>12</m:t>
              </m:r>
            </m:sup>
            <m:e>
              <m:sSub>
                <m:e>
                  <m:r>
                    <m:t>α</m:t>
                  </m:r>
                </m:e>
                <m:sub>
                  <m:r>
                    <m:t>k</m:t>
                  </m:r>
                </m:sub>
              </m:sSub>
            </m:e>
          </m:nary>
          <m:r>
            <m:rPr>
              <m:sty m:val="b"/>
            </m:rPr>
            <m:t>1</m:t>
          </m:r>
          <m:r>
            <m:rPr>
              <m:sty m:val="p"/>
            </m:rPr>
            <m:t>(</m:t>
          </m:r>
          <m:r>
            <m:rPr>
              <m:nor/>
              <m:sty m:val="p"/>
            </m:rPr>
            <m:t>mes</m:t>
          </m:r>
          <m:r>
            <m:rPr>
              <m:sty m:val="p"/>
            </m:rPr>
            <m:t>=</m:t>
          </m:r>
          <m:r>
            <m:t>k</m:t>
          </m:r>
          <m:r>
            <m:rPr>
              <m:sty m:val="p"/>
            </m:rPr>
            <m:t>)</m:t>
          </m:r>
          <m:r>
            <m:rPr>
              <m:sty m:val="p"/>
            </m:rPr>
            <m:t>+</m:t>
          </m:r>
          <m:sSub>
            <m:e>
              <m:r>
                <m:t>δ</m:t>
              </m:r>
            </m:e>
            <m:sub>
              <m:r>
                <m:t>1</m:t>
              </m:r>
            </m:sub>
          </m:sSub>
          <m:sSubSup>
            <m:e>
              <m:r>
                <m:t>D</m:t>
              </m:r>
            </m:e>
            <m:sub>
              <m:r>
                <m:t>m</m:t>
              </m:r>
            </m:sub>
            <m:sup>
              <m:r>
                <m:rPr>
                  <m:nor/>
                  <m:sty m:val="p"/>
                </m:rPr>
                <m:t>est</m:t>
              </m:r>
            </m:sup>
          </m:sSubSup>
          <m:r>
            <m:rPr>
              <m:sty m:val="p"/>
            </m:rPr>
            <m:t>+</m:t>
          </m:r>
          <m:sSub>
            <m:e>
              <m:r>
                <m:t>δ</m:t>
              </m:r>
            </m:e>
            <m:sub>
              <m:r>
                <m:t>2</m:t>
              </m:r>
            </m:sub>
          </m:sSub>
          <m:sSubSup>
            <m:e>
              <m:r>
                <m:t>D</m:t>
              </m:r>
            </m:e>
            <m:sub>
              <m:r>
                <m:t>m</m:t>
              </m:r>
            </m:sub>
            <m:sup>
              <m:r>
                <m:rPr>
                  <m:nor/>
                  <m:sty m:val="p"/>
                </m:rPr>
                <m:t>pan</m:t>
              </m:r>
            </m:sup>
          </m:sSubSup>
          <m:r>
            <m:rPr>
              <m:sty m:val="p"/>
            </m:rPr>
            <m:t>+</m:t>
          </m:r>
          <m:r>
            <m:t>f</m:t>
          </m:r>
          <m:r>
            <m:rPr>
              <m:sty m:val="p"/>
            </m:rPr>
            <m:t>(</m:t>
          </m:r>
          <m:r>
            <m:t>t</m:t>
          </m:r>
          <m:r>
            <m:rPr>
              <m:sty m:val="p"/>
            </m:rPr>
            <m:t>)</m:t>
          </m:r>
          <m:r>
            <m:rPr>
              <m:sty m:val="p"/>
            </m:rPr>
            <m:t>+</m:t>
          </m:r>
          <m:nary>
            <m:naryPr>
              <m:chr m:val="∑"/>
              <m:limLoc m:val="undOvr"/>
              <m:subHide m:val="off"/>
              <m:supHide m:val="off"/>
            </m:naryPr>
            <m:sub>
              <m:r>
                <m:t>r</m:t>
              </m:r>
              <m:r>
                <m:rPr>
                  <m:sty m:val="p"/>
                </m:rPr>
                <m:t>=</m:t>
              </m:r>
              <m:r>
                <m:t>2</m:t>
              </m:r>
            </m:sub>
            <m:sup>
              <m:r>
                <m:t>16</m:t>
              </m:r>
            </m:sup>
            <m:e>
              <m:sSub>
                <m:e>
                  <m:r>
                    <m:t>λ</m:t>
                  </m:r>
                </m:e>
                <m:sub>
                  <m:r>
                    <m:t>r</m:t>
                  </m:r>
                </m:sub>
              </m:sSub>
            </m:e>
          </m:nary>
          <m:r>
            <m:rPr>
              <m:sty m:val="b"/>
            </m:rPr>
            <m:t>1</m:t>
          </m:r>
          <m:r>
            <m:rPr>
              <m:sty m:val="p"/>
            </m:rPr>
            <m:t>(</m:t>
          </m:r>
          <m:r>
            <m:rPr>
              <m:nor/>
              <m:sty m:val="p"/>
            </m:rPr>
            <m:t>región</m:t>
          </m:r>
          <m:r>
            <m:rPr>
              <m:sty m:val="p"/>
            </m:rPr>
            <m:t>=</m:t>
          </m:r>
          <m:r>
            <m:t>r</m:t>
          </m:r>
          <m:r>
            <m:rPr>
              <m:sty m:val="p"/>
            </m:rPr>
            <m:t>)</m:t>
          </m:r>
          <m:r>
            <m:rPr>
              <m:sty m:val="p"/>
            </m:rPr>
            <m:t>+</m:t>
          </m:r>
          <m:r>
            <m:rPr>
              <m:sty m:val="p"/>
            </m:rPr>
            <m:t>ln</m:t>
          </m:r>
          <m:r>
            <m:rPr>
              <m:sty m:val="p"/>
            </m:rPr>
            <m:t>(</m:t>
          </m:r>
          <m:sSub>
            <m:e>
              <m:r>
                <m:rPr>
                  <m:nor/>
                  <m:sty m:val="p"/>
                </m:rPr>
                <m:t>Pop</m:t>
              </m:r>
            </m:e>
            <m:sub>
              <m:r>
                <m:rPr>
                  <m:nor/>
                  <m:sty m:val="p"/>
                </m:rPr>
                <m:t>mes</m:t>
              </m:r>
              <m:r>
                <m:rPr>
                  <m:sty m:val="p"/>
                </m:rPr>
                <m:t>,</m:t>
              </m:r>
              <m:r>
                <m:t>r</m:t>
              </m:r>
              <m:r>
                <m:t>t</m:t>
              </m:r>
            </m:sub>
          </m:sSub>
          <m:r>
            <m:rPr>
              <m:sty m:val="p"/>
            </m:rPr>
            <m:t>)</m:t>
          </m:r>
          <m:r>
            <m:rPr>
              <m:sty m:val="p"/>
            </m:rPr>
            <m:t>,</m:t>
          </m:r>
        </m:oMath>
      </m:oMathPara>
    </w:p>
    <w:p>
      <w:pPr>
        <w:pStyle w:val="FirstParagraph"/>
      </w:pPr>
      <w:r>
        <w:t xml:space="preserve">donde</w:t>
      </w:r>
      <w:r>
        <w:t xml:space="preserve"> </w:t>
      </w:r>
      <m:oMath>
        <m:nary>
          <m:naryPr>
            <m:chr m:val="∑"/>
            <m:limLoc m:val="undOvr"/>
            <m:subHide m:val="off"/>
            <m:supHide m:val="off"/>
          </m:naryPr>
          <m:sub>
            <m:r>
              <m:t>k</m:t>
            </m:r>
            <m:r>
              <m:rPr>
                <m:sty m:val="p"/>
              </m:rPr>
              <m:t>=</m:t>
            </m:r>
            <m:r>
              <m:t>2</m:t>
            </m:r>
          </m:sub>
          <m:sup>
            <m:r>
              <m:t>12</m:t>
            </m:r>
          </m:sup>
          <m:e>
            <m:sSub>
              <m:e>
                <m:r>
                  <m:t>α</m:t>
                </m:r>
              </m:e>
              <m:sub>
                <m:r>
                  <m:t>k</m:t>
                </m:r>
              </m:sub>
            </m:sSub>
          </m:e>
        </m:nary>
        <m:r>
          <m:rPr>
            <m:sty m:val="b"/>
          </m:rPr>
          <m:t>1</m:t>
        </m:r>
        <m:r>
          <m:rPr>
            <m:sty m:val="p"/>
          </m:rPr>
          <m:t>(</m:t>
        </m:r>
        <m:r>
          <m:rPr>
            <m:nor/>
            <m:sty m:val="p"/>
          </m:rPr>
          <m:t>mes</m:t>
        </m:r>
        <m:r>
          <m:rPr>
            <m:sty m:val="p"/>
          </m:rPr>
          <m:t>=</m:t>
        </m:r>
        <m:r>
          <m:t>k</m:t>
        </m:r>
        <m:r>
          <m:rPr>
            <m:sty m:val="p"/>
          </m:rPr>
          <m:t>)</m:t>
        </m:r>
      </m:oMath>
      <w:r>
        <w:t xml:space="preserve"> </w:t>
      </w:r>
      <w:r>
        <w:t xml:space="preserve">captura la estacionalidad</w:t>
      </w:r>
      <w:r>
        <w:t xml:space="preserve"> </w:t>
      </w:r>
      <w:r>
        <w:t xml:space="preserve">mensual mediante once dummies (enero como categoría de referencia);</w:t>
      </w:r>
      <w:r>
        <w:t xml:space="preserve"> </w:t>
      </w:r>
      <m:oMath>
        <m:sSubSup>
          <m:e>
            <m:r>
              <m:t>D</m:t>
            </m:r>
          </m:e>
          <m:sub>
            <m:r>
              <m:t>m</m:t>
            </m:r>
          </m:sub>
          <m:sup>
            <m:r>
              <m:rPr>
                <m:nor/>
                <m:sty m:val="p"/>
              </m:rPr>
              <m:t>est</m:t>
            </m:r>
          </m:sup>
        </m:sSubSup>
        <m:r>
          <m:rPr>
            <m:sty m:val="p"/>
          </m:rPr>
          <m:t>∈</m:t>
        </m:r>
        <m:r>
          <m:rPr>
            <m:sty m:val="p"/>
          </m:rPr>
          <m:t>{</m:t>
        </m:r>
        <m:r>
          <m:t>0</m:t>
        </m:r>
        <m:r>
          <m:rPr>
            <m:sty m:val="p"/>
          </m:rPr>
          <m:t>,</m:t>
        </m:r>
        <m:r>
          <m:t>1</m:t>
        </m:r>
        <m:r>
          <m:rPr>
            <m:sty m:val="p"/>
          </m:rPr>
          <m:t>}</m:t>
        </m:r>
      </m:oMath>
      <w:r>
        <w:t xml:space="preserve"> </w:t>
      </w:r>
      <w:r>
        <w:t xml:space="preserve">indica el período del estallido social (octubre de</w:t>
      </w:r>
      <w:r>
        <w:t xml:space="preserve"> </w:t>
      </w:r>
      <w:r>
        <w:t xml:space="preserve">2019 a febrero de 2020, 5 meses);</w:t>
      </w:r>
      <w:r>
        <w:t xml:space="preserve"> </w:t>
      </w:r>
      <m:oMath>
        <m:sSubSup>
          <m:e>
            <m:r>
              <m:t>D</m:t>
            </m:r>
          </m:e>
          <m:sub>
            <m:r>
              <m:t>m</m:t>
            </m:r>
          </m:sub>
          <m:sup>
            <m:r>
              <m:rPr>
                <m:nor/>
                <m:sty m:val="p"/>
              </m:rPr>
              <m:t>pan</m:t>
            </m:r>
          </m:sup>
        </m:sSubSup>
        <m:r>
          <m:rPr>
            <m:sty m:val="p"/>
          </m:rPr>
          <m:t>∈</m:t>
        </m:r>
        <m:r>
          <m:rPr>
            <m:sty m:val="p"/>
          </m:rPr>
          <m:t>{</m:t>
        </m:r>
        <m:r>
          <m:t>0</m:t>
        </m:r>
        <m:r>
          <m:rPr>
            <m:sty m:val="p"/>
          </m:rPr>
          <m:t>,</m:t>
        </m:r>
        <m:r>
          <m:t>1</m:t>
        </m:r>
        <m:r>
          <m:rPr>
            <m:sty m:val="p"/>
          </m:rPr>
          <m:t>}</m:t>
        </m:r>
      </m:oMath>
      <w:r>
        <w:t xml:space="preserve"> </w:t>
      </w:r>
      <w:r>
        <w:t xml:space="preserve">indica la pandemia</w:t>
      </w:r>
      <w:r>
        <w:t xml:space="preserve"> </w:t>
      </w:r>
      <w:r>
        <w:t xml:space="preserve">(marzo de 2020 a diciembre de 2021, 22 meses);</w:t>
      </w:r>
      <w:r>
        <w:t xml:space="preserve"> </w:t>
      </w:r>
      <m:oMath>
        <m:r>
          <m:t>f</m:t>
        </m:r>
        <m:r>
          <m:rPr>
            <m:sty m:val="p"/>
          </m:rPr>
          <m:t>(</m:t>
        </m:r>
        <m:r>
          <m:t>t</m:t>
        </m:r>
        <m:r>
          <m:rPr>
            <m:sty m:val="p"/>
          </m:rPr>
          <m:t>)</m:t>
        </m:r>
      </m:oMath>
      <w:r>
        <w:t xml:space="preserve"> </w:t>
      </w:r>
      <w:r>
        <w:t xml:space="preserve">es un spline cúbico</w:t>
      </w:r>
      <w:r>
        <w:t xml:space="preserve"> </w:t>
      </w:r>
      <w:r>
        <w:t xml:space="preserve">restringido (</w:t>
      </w:r>
      <w:r>
        <w:rPr>
          <w:i/>
          <w:iCs/>
        </w:rPr>
        <w:t xml:space="preserve">restricted cubic spline</w:t>
      </w:r>
      <w:r>
        <w:t xml:space="preserve">, RCS) sobre la tendencia temporal</w:t>
      </w:r>
      <w:r>
        <w:t xml:space="preserve"> </w:t>
      </w:r>
      <m:oMath>
        <m:r>
          <m:t>t</m:t>
        </m:r>
        <m:r>
          <m:rPr>
            <m:sty m:val="p"/>
          </m:rPr>
          <m:t>∈</m:t>
        </m:r>
        <m:r>
          <m:rPr>
            <m:sty m:val="p"/>
          </m:rPr>
          <m:t>{</m:t>
        </m:r>
        <m:r>
          <m:t>1</m:t>
        </m:r>
        <m:r>
          <m:rPr>
            <m:sty m:val="p"/>
          </m:rPr>
          <m:t>,</m:t>
        </m:r>
        <m:r>
          <m:rPr>
            <m:sty m:val="p"/>
          </m:rPr>
          <m:t>…</m:t>
        </m:r>
        <m:r>
          <m:rPr>
            <m:sty m:val="p"/>
          </m:rPr>
          <m:t>,</m:t>
        </m:r>
        <m:r>
          <m:t>156</m:t>
        </m:r>
        <m:r>
          <m:rPr>
            <m:sty m:val="p"/>
          </m:rPr>
          <m:t>}</m:t>
        </m:r>
      </m:oMath>
      <w:r>
        <w:t xml:space="preserve">, con tres nodos internos ubicados en los percentiles P25, P50</w:t>
      </w:r>
      <w:r>
        <w:t xml:space="preserve"> </w:t>
      </w:r>
      <w:r>
        <w:t xml:space="preserve">y P75 de</w:t>
      </w:r>
      <w:r>
        <w:t xml:space="preserve"> </w:t>
      </w:r>
      <m:oMath>
        <m:r>
          <m:t>t</m:t>
        </m:r>
      </m:oMath>
      <w:r>
        <w:t xml:space="preserve">—generando cuatro tramos de tendencia que se discuten en la</w:t>
      </w:r>
      <w:r>
        <w:t xml:space="preserve"> </w:t>
      </w:r>
      <w:r>
        <w:t xml:space="preserve">Sección </w:t>
      </w:r>
      <w:hyperlink w:anchor="sec:resultados">
        <w:r>
          <w:rPr>
            <w:rStyle w:val="Hyperlink"/>
          </w:rPr>
          <w:t xml:space="preserve">4</w:t>
        </w:r>
      </w:hyperlink>
      <w:r>
        <w:t xml:space="preserve">;</w:t>
      </w:r>
      <w:r>
        <w:t xml:space="preserve"> </w:t>
      </w:r>
      <m:oMath>
        <m:sSub>
          <m:e>
            <m:r>
              <m:t>λ</m:t>
            </m:r>
          </m:e>
          <m:sub>
            <m:r>
              <m:t>r</m:t>
            </m:r>
          </m:sub>
        </m:sSub>
      </m:oMath>
      <w:r>
        <w:t xml:space="preserve"> </w:t>
      </w:r>
      <w:r>
        <w:t xml:space="preserve">son efectos fijos regionales que capturan</w:t>
      </w:r>
      <w:r>
        <w:t xml:space="preserve"> </w:t>
      </w:r>
      <w:r>
        <w:t xml:space="preserve">heterogeneidad constante entre regiones; y</w:t>
      </w:r>
      <w:r>
        <w:t xml:space="preserve"> </w:t>
      </w:r>
      <m:oMath>
        <m:r>
          <m:rPr>
            <m:sty m:val="p"/>
          </m:rPr>
          <m:t>ln</m:t>
        </m:r>
        <m:r>
          <m:rPr>
            <m:sty m:val="p"/>
          </m:rPr>
          <m:t>(</m:t>
        </m:r>
        <m:sSub>
          <m:e>
            <m:r>
              <m:rPr>
                <m:nor/>
                <m:sty m:val="p"/>
              </m:rPr>
              <m:t>Pop</m:t>
            </m:r>
          </m:e>
          <m:sub>
            <m:r>
              <m:rPr>
                <m:nor/>
                <m:sty m:val="p"/>
              </m:rPr>
              <m:t>mes</m:t>
            </m:r>
            <m:r>
              <m:rPr>
                <m:sty m:val="p"/>
              </m:rPr>
              <m:t>,</m:t>
            </m:r>
            <m:r>
              <m:t>r</m:t>
            </m:r>
            <m:r>
              <m:t>t</m:t>
            </m:r>
          </m:sub>
        </m:sSub>
        <m:r>
          <m:rPr>
            <m:sty m:val="p"/>
          </m:rPr>
          <m:t>)</m:t>
        </m:r>
      </m:oMath>
      <w:r>
        <w:t xml:space="preserve"> </w:t>
      </w:r>
      <w:r>
        <w:t xml:space="preserve">es el</w:t>
      </w:r>
      <w:r>
        <w:t xml:space="preserve"> </w:t>
      </w:r>
      <w:r>
        <w:rPr>
          <w:i/>
          <w:iCs/>
        </w:rPr>
        <w:t xml:space="preserve">offset</w:t>
      </w:r>
      <w:r>
        <w:t xml:space="preserve">, término cuyo coeficiente se fija a 1</w:t>
      </w:r>
      <w:r>
        <w:t xml:space="preserve">,</w:t>
      </w:r>
      <w:r>
        <w:t xml:space="preserve">0, lo que convierte el modelo</w:t>
      </w:r>
      <w:r>
        <w:t xml:space="preserve"> </w:t>
      </w:r>
      <w:r>
        <w:t xml:space="preserve">de conteos en un modelo de tasas por habitante y hace que los coeficientes estimados</w:t>
      </w:r>
      <w:r>
        <w:t xml:space="preserve"> </w:t>
      </w:r>
      <w:r>
        <w:t xml:space="preserve">reflejen cambios en la tasa de incidencia por 100.000 habitantes.</w:t>
      </w:r>
    </w:p>
    <w:p>
      <w:pPr>
        <w:pStyle w:val="BodyText"/>
      </w:pPr>
      <w:r>
        <w:t xml:space="preserve">La variable</w:t>
      </w:r>
      <w:r>
        <w:t xml:space="preserve"> </w:t>
      </w:r>
      <m:oMath>
        <m:r>
          <m:t>t</m:t>
        </m:r>
      </m:oMath>
      <w:r>
        <w:t xml:space="preserve"> </w:t>
      </w:r>
      <w:r>
        <w:t xml:space="preserve">es un contador mensual entero:</w:t>
      </w:r>
      <w:r>
        <w:t xml:space="preserve"> </w:t>
      </w:r>
      <m:oMath>
        <m:r>
          <m:t>t</m:t>
        </m:r>
        <m:r>
          <m:rPr>
            <m:sty m:val="p"/>
          </m:rPr>
          <m:t>=</m:t>
        </m:r>
        <m:r>
          <m:t>1</m:t>
        </m:r>
      </m:oMath>
      <w:r>
        <w:t xml:space="preserve"> </w:t>
      </w:r>
      <w:r>
        <w:t xml:space="preserve">corresponde a enero de 2013</w:t>
      </w:r>
      <w:r>
        <w:t xml:space="preserve"> </w:t>
      </w:r>
      <w:r>
        <w:t xml:space="preserve">y</w:t>
      </w:r>
      <w:r>
        <w:t xml:space="preserve"> </w:t>
      </w:r>
      <m:oMath>
        <m:r>
          <m:t>t</m:t>
        </m:r>
        <m:r>
          <m:rPr>
            <m:sty m:val="p"/>
          </m:rPr>
          <m:t>=</m:t>
        </m:r>
        <m:r>
          <m:t>156</m:t>
        </m:r>
      </m:oMath>
      <w:r>
        <w:t xml:space="preserve"> </w:t>
      </w:r>
      <w:r>
        <w:t xml:space="preserve">a diciembre de 2025. Los tres nodos internos del RCS se ubican</w:t>
      </w:r>
      <w:r>
        <w:t xml:space="preserve"> </w:t>
      </w:r>
      <w:r>
        <w:t xml:space="preserve">automáticamente en los percentiles P25, P50 y P75 de esa secuencia, obteniéndose</w:t>
      </w:r>
      <w:r>
        <w:t xml:space="preserve"> </w:t>
      </w:r>
      <m:oMath>
        <m:sSub>
          <m:e>
            <m:r>
              <m:t>ξ</m:t>
            </m:r>
          </m:e>
          <m:sub>
            <m:r>
              <m:t>1</m:t>
            </m:r>
          </m:sub>
        </m:sSub>
        <m:r>
          <m:rPr>
            <m:sty m:val="p"/>
          </m:rPr>
          <m:t>=</m:t>
        </m:r>
        <m:r>
          <m:t>39</m:t>
        </m:r>
        <m:r>
          <m:rPr>
            <m:sty m:val="p"/>
          </m:rPr>
          <m:t>,</m:t>
        </m:r>
        <m:r>
          <m:t>75</m:t>
        </m:r>
      </m:oMath>
      <w:r>
        <w:t xml:space="preserve"> </w:t>
      </w:r>
      <w:r>
        <w:t xml:space="preserve">(</w:t>
      </w:r>
      <m:oMath>
        <m:r>
          <m:rPr>
            <m:sty m:val="p"/>
          </m:rPr>
          <m:t>≈</m:t>
        </m:r>
      </m:oMath>
      <w:r>
        <w:t xml:space="preserve"> </w:t>
      </w:r>
      <w:r>
        <w:t xml:space="preserve">abril de 2016),</w:t>
      </w:r>
      <w:r>
        <w:t xml:space="preserve"> </w:t>
      </w:r>
      <m:oMath>
        <m:sSub>
          <m:e>
            <m:r>
              <m:t>ξ</m:t>
            </m:r>
          </m:e>
          <m:sub>
            <m:r>
              <m:t>2</m:t>
            </m:r>
          </m:sub>
        </m:sSub>
        <m:r>
          <m:rPr>
            <m:sty m:val="p"/>
          </m:rPr>
          <m:t>=</m:t>
        </m:r>
        <m:r>
          <m:t>78</m:t>
        </m:r>
        <m:r>
          <m:rPr>
            <m:sty m:val="p"/>
          </m:rPr>
          <m:t>,</m:t>
        </m:r>
        <m:r>
          <m:t>5</m:t>
        </m:r>
      </m:oMath>
      <w:r>
        <w:t xml:space="preserve"> </w:t>
      </w:r>
      <w:r>
        <w:t xml:space="preserve">(</w:t>
      </w:r>
      <m:oMath>
        <m:r>
          <m:rPr>
            <m:sty m:val="p"/>
          </m:rPr>
          <m:t>≈</m:t>
        </m:r>
      </m:oMath>
      <w:r>
        <w:t xml:space="preserve"> </w:t>
      </w:r>
      <w:r>
        <w:t xml:space="preserve">junio de</w:t>
      </w:r>
      <w:r>
        <w:t xml:space="preserve"> </w:t>
      </w:r>
      <w:r>
        <w:t xml:space="preserve">2019) y</w:t>
      </w:r>
      <w:r>
        <w:t xml:space="preserve"> </w:t>
      </w:r>
      <m:oMath>
        <m:sSub>
          <m:e>
            <m:r>
              <m:t>ξ</m:t>
            </m:r>
          </m:e>
          <m:sub>
            <m:r>
              <m:t>3</m:t>
            </m:r>
          </m:sub>
        </m:sSub>
        <m:r>
          <m:rPr>
            <m:sty m:val="p"/>
          </m:rPr>
          <m:t>=</m:t>
        </m:r>
        <m:r>
          <m:t>117</m:t>
        </m:r>
        <m:r>
          <m:rPr>
            <m:sty m:val="p"/>
          </m:rPr>
          <m:t>,</m:t>
        </m:r>
        <m:r>
          <m:t>25</m:t>
        </m:r>
      </m:oMath>
      <w:r>
        <w:t xml:space="preserve"> </w:t>
      </w:r>
      <w:r>
        <w:t xml:space="preserve">(</w:t>
      </w:r>
      <m:oMath>
        <m:r>
          <m:rPr>
            <m:sty m:val="p"/>
          </m:rPr>
          <m:t>≈</m:t>
        </m:r>
      </m:oMath>
      <w:r>
        <w:t xml:space="preserve"> </w:t>
      </w:r>
      <w:r>
        <w:t xml:space="preserve">septiembre de 2022). Cada nodo marca el punto</w:t>
      </w:r>
      <w:r>
        <w:t xml:space="preserve"> </w:t>
      </w:r>
      <w:r>
        <w:t xml:space="preserve">donde un tramo de tendencia da paso al siguiente, dividiendo la serie en cuatro</w:t>
      </w:r>
      <w:r>
        <w:t xml:space="preserve"> </w:t>
      </w:r>
      <w:r>
        <w:t xml:space="preserve">segmentos consecutivos de aproximadamente 39 meses cada uno: Spline 1 (enero de</w:t>
      </w:r>
      <w:r>
        <w:t xml:space="preserve"> </w:t>
      </w:r>
      <w:r>
        <w:t xml:space="preserve">2013–marzo de 2016;</w:t>
      </w:r>
      <w:r>
        <w:t xml:space="preserve"> </w:t>
      </w:r>
      <m:oMath>
        <m:r>
          <m:t>t</m:t>
        </m:r>
        <m:r>
          <m:rPr>
            <m:sty m:val="p"/>
          </m:rPr>
          <m:t>∈</m:t>
        </m:r>
        <m:r>
          <m:rPr>
            <m:sty m:val="p"/>
          </m:rPr>
          <m:t>[</m:t>
        </m:r>
        <m:r>
          <m:t>1</m:t>
        </m:r>
        <m:r>
          <m:rPr>
            <m:sty m:val="p"/>
          </m:rPr>
          <m:t>,</m:t>
        </m:r>
        <m:r>
          <m:t>39</m:t>
        </m:r>
        <m:r>
          <m:rPr>
            <m:sty m:val="p"/>
          </m:rPr>
          <m:t>]</m:t>
        </m:r>
      </m:oMath>
      <w:r>
        <w:t xml:space="preserve">), Spline 2 (abril de 2016–junio de 2019;</w:t>
      </w:r>
      <w:r>
        <w:t xml:space="preserve"> </w:t>
      </w:r>
      <m:oMath>
        <m:r>
          <m:t>t</m:t>
        </m:r>
        <m:r>
          <m:rPr>
            <m:sty m:val="p"/>
          </m:rPr>
          <m:t>∈</m:t>
        </m:r>
        <m:r>
          <m:rPr>
            <m:sty m:val="p"/>
          </m:rPr>
          <m:t>[</m:t>
        </m:r>
        <m:r>
          <m:t>40</m:t>
        </m:r>
        <m:r>
          <m:rPr>
            <m:sty m:val="p"/>
          </m:rPr>
          <m:t>,</m:t>
        </m:r>
        <m:r>
          <m:t>78</m:t>
        </m:r>
        <m:r>
          <m:rPr>
            <m:sty m:val="p"/>
          </m:rPr>
          <m:t>]</m:t>
        </m:r>
      </m:oMath>
      <w:r>
        <w:t xml:space="preserve">), Spline 3 (julio de 2019–septiembre de 2022;</w:t>
      </w:r>
      <w:r>
        <w:t xml:space="preserve"> </w:t>
      </w:r>
      <m:oMath>
        <m:r>
          <m:t>t</m:t>
        </m:r>
        <m:r>
          <m:rPr>
            <m:sty m:val="p"/>
          </m:rPr>
          <m:t>∈</m:t>
        </m:r>
        <m:r>
          <m:rPr>
            <m:sty m:val="p"/>
          </m:rPr>
          <m:t>[</m:t>
        </m:r>
        <m:r>
          <m:t>79</m:t>
        </m:r>
        <m:r>
          <m:rPr>
            <m:sty m:val="p"/>
          </m:rPr>
          <m:t>,</m:t>
        </m:r>
        <m:r>
          <m:t>117</m:t>
        </m:r>
        <m:r>
          <m:rPr>
            <m:sty m:val="p"/>
          </m:rPr>
          <m:t>]</m:t>
        </m:r>
      </m:oMath>
      <w:r>
        <w:t xml:space="preserve">)</w:t>
      </w:r>
      <w:r>
        <w:t xml:space="preserve"> </w:t>
      </w:r>
      <w:r>
        <w:t xml:space="preserve">y Spline 4 (octubre de 2022–diciembre de 2025;</w:t>
      </w:r>
      <w:r>
        <w:t xml:space="preserve"> </w:t>
      </w:r>
      <m:oMath>
        <m:r>
          <m:t>t</m:t>
        </m:r>
        <m:r>
          <m:rPr>
            <m:sty m:val="p"/>
          </m:rPr>
          <m:t>∈</m:t>
        </m:r>
        <m:r>
          <m:rPr>
            <m:sty m:val="p"/>
          </m:rPr>
          <m:t>[</m:t>
        </m:r>
        <m:r>
          <m:t>118</m:t>
        </m:r>
        <m:r>
          <m:rPr>
            <m:sty m:val="p"/>
          </m:rPr>
          <m:t>,</m:t>
        </m:r>
        <m:r>
          <m:t>156</m:t>
        </m:r>
        <m:r>
          <m:rPr>
            <m:sty m:val="p"/>
          </m:rPr>
          <m:t>]</m:t>
        </m:r>
      </m:oMath>
      <w:r>
        <w:t xml:space="preserve">). El coeficiente</w:t>
      </w:r>
      <w:r>
        <w:t xml:space="preserve"> </w:t>
      </w:r>
      <w:r>
        <w:t xml:space="preserve">de cada término del spline se interpreta como el incremento multiplicativo mensual</w:t>
      </w:r>
      <w:r>
        <w:t xml:space="preserve"> </w:t>
      </w:r>
      <w:r>
        <w:t xml:space="preserve">de la tasa de incidencia dentro de ese tramo, neto de estacionalidad, eventos</w:t>
      </w:r>
      <w:r>
        <w:t xml:space="preserve"> </w:t>
      </w:r>
      <w:r>
        <w:t xml:space="preserve">discretos y efectos fijos regionales. La parametrización es agnóstica: los nodos</w:t>
      </w:r>
      <w:r>
        <w:t xml:space="preserve"> </w:t>
      </w:r>
      <w:r>
        <w:t xml:space="preserve">emergen de la distribución de los propios datos sin imponer supuestos sobre</w:t>
      </w:r>
      <w:r>
        <w:t xml:space="preserve"> </w:t>
      </w:r>
      <w:r>
        <w:t xml:space="preserve">cuándo ocurre el quiebre estructural.</w:t>
      </w:r>
    </w:p>
    <w:p>
      <w:pPr>
        <w:pStyle w:val="BodyText"/>
      </w:pPr>
      <w:r>
        <w:t xml:space="preserve">Se ha optado por la estimación Poisson-QMLE por sus ventajas frente a tres clases de alternativas</w:t>
      </w:r>
      <w:r>
        <w:t xml:space="preserve"> </w:t>
      </w:r>
      <w:r>
        <w:t xml:space="preserve">(Gourieroux, Monfort, and Trognon 1984; Wooldridge 2010; Osgood 2000; Santos Silva and Tenreyro 2006)</w:t>
      </w:r>
      <w:r>
        <w:t xml:space="preserve">.</w:t>
      </w:r>
    </w:p>
    <w:p>
      <w:pPr>
        <w:pStyle w:val="BodyText"/>
      </w:pPr>
      <w:r>
        <w:rPr>
          <w:i/>
          <w:iCs/>
        </w:rPr>
        <w:t xml:space="preserve">Primero, frente a la regresión binomial negativa.</w:t>
      </w:r>
      <w:r>
        <w:t xml:space="preserve"> </w:t>
      </w:r>
      <w:r>
        <w:t xml:space="preserve">El estimador Poisson-QMLE es consistente si la media condicional está correctamente especificada, incluso cuando la varianza no sigue la ley de Poisson, ya que la función de puntuación del Poisson depende únicamente del primer momento condicional. Formalmente, el estimador resuelve</w:t>
      </w:r>
      <w:r>
        <w:t xml:space="preserve"> </w:t>
      </w:r>
      <m:oMath>
        <m:nary>
          <m:naryPr>
            <m:chr m:val="∑"/>
            <m:limLoc m:val="undOvr"/>
            <m:subHide m:val="off"/>
            <m:supHide m:val="on"/>
          </m:naryPr>
          <m:sub>
            <m:r>
              <m:t>i</m:t>
            </m:r>
          </m:sub>
          <m:sup>
            <m:r>
              <m:t>​</m:t>
            </m:r>
          </m:sup>
          <m:e>
            <m:r>
              <m:rPr>
                <m:sty m:val="p"/>
              </m:rPr>
              <m:t>(</m:t>
            </m:r>
          </m:e>
        </m:nary>
        <m:sSub>
          <m:e>
            <m:r>
              <m:t>y</m:t>
            </m:r>
          </m:e>
          <m:sub>
            <m:r>
              <m:t>i</m:t>
            </m:r>
          </m:sub>
        </m:sSub>
        <m:r>
          <m:rPr>
            <m:sty m:val="p"/>
          </m:rPr>
          <m:t>−</m:t>
        </m:r>
        <m:sSub>
          <m:e>
            <m:r>
              <m:t>μ</m:t>
            </m:r>
          </m:e>
          <m:sub>
            <m:r>
              <m:t>i</m:t>
            </m:r>
          </m:sub>
        </m:sSub>
        <m:r>
          <m:rPr>
            <m:sty m:val="p"/>
          </m:rPr>
          <m:t>)</m:t>
        </m:r>
        <m:sSub>
          <m:e>
            <m:r>
              <m:rPr>
                <m:sty m:val="b"/>
              </m:rPr>
              <m:t>x</m:t>
            </m:r>
          </m:e>
          <m:sub>
            <m:r>
              <m:t>i</m:t>
            </m:r>
          </m:sub>
        </m:sSub>
        <m:r>
          <m:rPr>
            <m:sty m:val="p"/>
          </m:rPr>
          <m:t>=</m:t>
        </m:r>
        <m:r>
          <m:rPr>
            <m:sty m:val="b"/>
          </m:rPr>
          <m:t>0</m:t>
        </m:r>
      </m:oMath>
      <w:r>
        <w:t xml:space="preserve">, condiciones de primer orden válidas bajo cualquier distribución de conteos con</w:t>
      </w:r>
      <w:r>
        <w:t xml:space="preserve"> </w:t>
      </w:r>
      <m:oMath>
        <m:r>
          <m:t>E</m:t>
        </m:r>
        <m:r>
          <m:rPr>
            <m:sty m:val="p"/>
          </m:rPr>
          <m:t>[</m:t>
        </m:r>
        <m:r>
          <m:t>Y</m:t>
        </m:r>
        <m:r>
          <m:rPr>
            <m:sty m:val="p"/>
          </m:rPr>
          <m:t>|</m:t>
        </m:r>
        <m:r>
          <m:rPr>
            <m:sty m:val="b"/>
          </m:rPr>
          <m:t>x</m:t>
        </m:r>
        <m:r>
          <m:rPr>
            <m:sty m:val="p"/>
          </m:rPr>
          <m:t>]</m:t>
        </m:r>
        <m:r>
          <m:rPr>
            <m:sty m:val="p"/>
          </m:rPr>
          <m:t>=</m:t>
        </m:r>
        <m:r>
          <m:rPr>
            <m:sty m:val="p"/>
          </m:rPr>
          <m:t>exp</m:t>
        </m:r>
        <m:r>
          <m:rPr>
            <m:sty m:val="p"/>
          </m:rPr>
          <m:t>(</m:t>
        </m:r>
        <m:sSup>
          <m:e>
            <m:r>
              <m:rPr>
                <m:sty m:val="b"/>
              </m:rPr>
              <m:t>x</m:t>
            </m:r>
          </m:e>
          <m:sup>
            <m:r>
              <m:rPr>
                <m:sty m:val="p"/>
              </m:rPr>
              <m:t>′</m:t>
            </m:r>
          </m:sup>
        </m:sSup>
        <m:r>
          <m:rPr>
            <m:sty m:val="b"/>
          </m:rPr>
          <m:t>β</m:t>
        </m:r>
        <m:r>
          <m:rPr>
            <m:sty m:val="p"/>
          </m:rPr>
          <m:t>)</m:t>
        </m:r>
      </m:oMath>
      <w:r>
        <w:t xml:space="preserve">. La consistencia no requiere que la varianza siga la ley de Poisson, sino únicamente que la media condicional esté correctamente especificada. Esta propiedad es especialmente valiosa para datos de criminalidad, donde la sobredispersión es la norma</w:t>
      </w:r>
      <w:r>
        <w:t xml:space="preserve"> </w:t>
      </w:r>
      <w:r>
        <w:t xml:space="preserve">(Osgood 2000)</w:t>
      </w:r>
      <w:r>
        <w:t xml:space="preserve">: la razón desvío/grados de libertad es 8</w:t>
      </w:r>
      <w:r>
        <w:t xml:space="preserve">,</w:t>
      </w:r>
      <w:r>
        <w:t xml:space="preserve">04 (</w:t>
      </w:r>
      <m:oMath>
        <m:r>
          <m:t>p</m:t>
        </m:r>
        <m:r>
          <m:rPr>
            <m:sty m:val="p"/>
          </m:rPr>
          <m:t>&lt;</m:t>
        </m:r>
        <m:r>
          <m:t>0</m:t>
        </m:r>
        <m:r>
          <m:rPr>
            <m:sty m:val="p"/>
          </m:rPr>
          <m:t>,</m:t>
        </m:r>
        <m:r>
          <m:t>001</m:t>
        </m:r>
      </m:oMath>
      <w:r>
        <w:t xml:space="preserve">, test Cameron-Trivedi), confirmando sobredispersión significativa que el</w:t>
      </w:r>
      <w:r>
        <w:t xml:space="preserve"> </w:t>
      </w:r>
      <w:r>
        <w:rPr>
          <w:i/>
          <w:iCs/>
        </w:rPr>
        <w:t xml:space="preserve">Wild Cluster Bootstrap</w:t>
      </w:r>
      <w:r>
        <w:t xml:space="preserve"> </w:t>
      </w:r>
      <w:r>
        <w:t xml:space="preserve">neutraliza sin imponer supuestos distribucionales adicionales.</w:t>
      </w:r>
    </w:p>
    <w:p>
      <w:pPr>
        <w:pStyle w:val="BodyText"/>
      </w:pPr>
      <w:r>
        <w:rPr>
          <w:i/>
          <w:iCs/>
        </w:rPr>
        <w:t xml:space="preserve">Segundo, frente a una tendencia lineal con nodos fijos.</w:t>
      </w:r>
      <w:r>
        <w:t xml:space="preserve"> </w:t>
      </w:r>
      <w:r>
        <w:t xml:space="preserve">El</w:t>
      </w:r>
      <w:r>
        <w:t xml:space="preserve"> </w:t>
      </w:r>
      <w:r>
        <w:rPr>
          <w:i/>
          <w:iCs/>
        </w:rPr>
        <w:t xml:space="preserve">spline</w:t>
      </w:r>
      <w:r>
        <w:t xml:space="preserve"> </w:t>
      </w:r>
      <w:r>
        <w:t xml:space="preserve">cúbico restringido con nodos en percentiles no impone supuestos sobre cuándo ocurre el quiebre estructural: los nodos emergen de la distribución de los datos y el modelo es agnóstico respecto al momento del cambio de régimen.</w:t>
      </w:r>
    </w:p>
    <w:p>
      <w:pPr>
        <w:pStyle w:val="BodyText"/>
      </w:pPr>
      <w:r>
        <w:rPr>
          <w:i/>
          <w:iCs/>
        </w:rPr>
        <w:t xml:space="preserve">Tercero, frente a los errores estándar de Huber-White.</w:t>
      </w:r>
      <w:r>
        <w:t xml:space="preserve"> </w:t>
      </w:r>
      <w:r>
        <w:t xml:space="preserve">Con</w:t>
      </w:r>
      <w:r>
        <w:t xml:space="preserve"> </w:t>
      </w:r>
      <m:oMath>
        <m:r>
          <m:t>G</m:t>
        </m:r>
        <m:r>
          <m:rPr>
            <m:sty m:val="p"/>
          </m:rPr>
          <m:t>=</m:t>
        </m:r>
        <m:r>
          <m:t>16</m:t>
        </m:r>
      </m:oMath>
      <w:r>
        <w:t xml:space="preserve"> </w:t>
      </w:r>
      <w:r>
        <w:rPr>
          <w:i/>
          <w:iCs/>
        </w:rPr>
        <w:t xml:space="preserve">clusters</w:t>
      </w:r>
      <w:r>
        <w:t xml:space="preserve"> </w:t>
      </w:r>
      <w:r>
        <w:t xml:space="preserve">(regiones), los errores robustos de Huber-White son inconsistentes para este número reducido de grupos; el WCB con pesos de Webb (</w:t>
      </w:r>
      <m:oMath>
        <m:r>
          <m:t>B</m:t>
        </m:r>
        <m:r>
          <m:rPr>
            <m:sty m:val="p"/>
          </m:rPr>
          <m:t>=</m:t>
        </m:r>
        <m:r>
          <m:t>9</m:t>
        </m:r>
        <m:r>
          <m:rPr>
            <m:sty m:val="p"/>
          </m:rPr>
          <m:t>,</m:t>
        </m:r>
        <m:r>
          <m:t>999</m:t>
        </m:r>
      </m:oMath>
      <w:r>
        <w:t xml:space="preserve"> </w:t>
      </w:r>
      <w:r>
        <w:t xml:space="preserve">replicaciones) provee inferencia válida</w:t>
      </w:r>
      <w:r>
        <w:t xml:space="preserve"> </w:t>
      </w:r>
      <w:r>
        <w:t xml:space="preserve">(Cameron and Miller 2015; MacKinnon, Nielsen, and Webb 2023)</w:t>
      </w:r>
      <w:r>
        <w:t xml:space="preserve">.</w:t>
      </w:r>
    </w:p>
    <w:p>
      <w:pPr>
        <w:pStyle w:val="BodyText"/>
      </w:pPr>
      <w:r>
        <w:t xml:space="preserve">Se reportan razones de tasas de incidencia (</w:t>
      </w:r>
      <w:r>
        <w:rPr>
          <w:i/>
          <w:iCs/>
        </w:rPr>
        <w:t xml:space="preserve">Incidence Rate Ratios</w:t>
      </w:r>
      <w:r>
        <w:t xml:space="preserve">,</w:t>
      </w:r>
      <w:r>
        <w:t xml:space="preserve"> </w:t>
      </w:r>
      <m:oMath>
        <m:r>
          <m:rPr>
            <m:nor/>
            <m:sty m:val="p"/>
          </m:rPr>
          <m:t>IRR</m:t>
        </m:r>
        <m:r>
          <m:rPr>
            <m:sty m:val="p"/>
          </m:rPr>
          <m:t>=</m:t>
        </m:r>
        <m:sSup>
          <m:e>
            <m:r>
              <m:t>e</m:t>
            </m:r>
          </m:e>
          <m:sup>
            <m:r>
              <m:t>β</m:t>
            </m:r>
          </m:sup>
        </m:sSup>
      </m:oMath>
      <w:r>
        <w:t xml:space="preserve">), p-valores WCB e intervalos de confianza al 95% por</w:t>
      </w:r>
      <w:r>
        <w:t xml:space="preserve"> </w:t>
      </w:r>
      <w:r>
        <w:t xml:space="preserve">inversión.</w:t>
      </w:r>
    </w:p>
    <w:p>
      <w:pPr>
        <w:pStyle w:val="BodyText"/>
      </w:pPr>
      <w:r>
        <w:t xml:space="preserve">El análisis se complementa con tres procedimientos. El test</w:t>
      </w:r>
      <w:r>
        <w:t xml:space="preserve"> </w:t>
      </w:r>
      <w:r>
        <w:rPr>
          <w:i/>
          <w:iCs/>
        </w:rPr>
        <w:t xml:space="preserve">CUSUM</w:t>
      </w:r>
      <w:r>
        <w:t xml:space="preserve">-GLM regional</w:t>
      </w:r>
      <w:r>
        <w:t xml:space="preserve"> </w:t>
      </w:r>
      <w:r>
        <w:t xml:space="preserve">ajusta un Poisson-GLM base por región, calcula el proceso empírico de fluctuación</w:t>
      </w:r>
      <w:r>
        <w:t xml:space="preserve"> </w:t>
      </w:r>
      <w:r>
        <w:t xml:space="preserve">(Zeileis et al. 2002)</w:t>
      </w:r>
      <w:r>
        <w:t xml:space="preserve"> </w:t>
      </w:r>
      <w:r>
        <w:t xml:space="preserve">y aplica el test supremo de puente browniano; los 16 p-valores se</w:t>
      </w:r>
      <w:r>
        <w:t xml:space="preserve"> </w:t>
      </w:r>
      <w:r>
        <w:t xml:space="preserve">ajustan por la tasa de descubrimientos falsos (FDR) de Benjamini-Hochberg. La</w:t>
      </w:r>
      <w:r>
        <w:t xml:space="preserve"> </w:t>
      </w:r>
      <w:r>
        <w:t xml:space="preserve">detección de quiebres de</w:t>
      </w:r>
      <w:r>
        <w:t xml:space="preserve"> </w:t>
      </w:r>
      <w:r>
        <w:t xml:space="preserve">Bai and Perron (1998)</w:t>
      </w:r>
      <w:r>
        <w:t xml:space="preserve"> </w:t>
      </w:r>
      <w:r>
        <w:t xml:space="preserve">se aplica al ratio mensual desestacionalizado</w:t>
      </w:r>
      <w:r>
        <w:t xml:space="preserve"> </w:t>
      </w:r>
      <w:r>
        <w:t xml:space="preserve">robos violentos/(violentos + no violentos) con errores HAC, seleccionando el número</w:t>
      </w:r>
      <w:r>
        <w:t xml:space="preserve"> </w:t>
      </w:r>
      <w:r>
        <w:t xml:space="preserve">óptimo por BIC. Finalmente, un modelo de interacciones macrozona</w:t>
      </w:r>
      <w:r>
        <w:t xml:space="preserve"> </w:t>
      </w:r>
      <m:oMath>
        <m:r>
          <m:rPr>
            <m:sty m:val="p"/>
          </m:rPr>
          <m:t>×</m:t>
        </m:r>
      </m:oMath>
      <w:r>
        <w:t xml:space="preserve"> </w:t>
      </w:r>
      <w:r>
        <w:rPr>
          <w:i/>
          <w:iCs/>
        </w:rPr>
        <w:t xml:space="preserve">spline</w:t>
      </w:r>
      <w:r>
        <w:t xml:space="preserve"> </w:t>
      </w:r>
      <w:r>
        <w:t xml:space="preserve">permite evaluar si la tendencia de largo plazo difiere entre zonas geográficas.</w:t>
      </w:r>
      <w:r>
        <w:rPr>
          <w:rStyle w:val="FootnoteReference"/>
        </w:rPr>
        <w:footnoteReference w:id="21"/>
      </w:r>
      <w:r>
        <w:t xml:space="preserve"> </w:t>
      </w:r>
      <w:r>
        <w:t xml:space="preserve">Sus coeficientes se presentan en el Apéndice </w:t>
      </w:r>
      <w:hyperlink w:anchor="ap:macro">
        <w:r>
          <w:rPr>
            <w:rStyle w:val="Hyperlink"/>
          </w:rPr>
          <w:t xml:space="preserve">9</w:t>
        </w:r>
      </w:hyperlink>
      <w:r>
        <w:t xml:space="preserve">.</w:t>
      </w:r>
    </w:p>
    <w:p>
      <w:pPr>
        <w:pStyle w:val="BodyText"/>
      </w:pPr>
      <w:r>
        <w:t xml:space="preserve">La especificación se valida mediante tres modelos placebo con registros</w:t>
      </w:r>
      <w:r>
        <w:t xml:space="preserve"> </w:t>
      </w:r>
      <w:r>
        <w:t xml:space="preserve">administrativos de Carabineros de Chile (CCH). El placebo negativo (P1) usa el</w:t>
      </w:r>
      <w:r>
        <w:t xml:space="preserve"> </w:t>
      </w:r>
      <w:r>
        <w:t xml:space="preserve">cuasidelito vehicular —indicador de actividad vial—, que debería crecer</w:t>
      </w:r>
      <w:r>
        <w:t xml:space="preserve"> </w:t>
      </w:r>
      <w:r>
        <w:t xml:space="preserve">post-pandemia por el retorno de la movilidad; un resultado negativo en este</w:t>
      </w:r>
      <w:r>
        <w:t xml:space="preserve"> </w:t>
      </w:r>
      <w:r>
        <w:t xml:space="preserve">indicador revelaría un problema de especificación del modelo. El primer placebo positivo</w:t>
      </w:r>
      <w:r>
        <w:t xml:space="preserve"> </w:t>
      </w:r>
      <w:r>
        <w:t xml:space="preserve">(P2) usa los homicidios dolosos</w:t>
      </w:r>
      <w:r>
        <w:rPr>
          <w:rStyle w:val="FootnoteReference"/>
        </w:rPr>
        <w:footnoteReference w:id="22"/>
      </w:r>
      <w:r>
        <w:t xml:space="preserve"> </w:t>
      </w:r>
      <w:r>
        <w:t xml:space="preserve">—homicidio simple, calificado y en</w:t>
      </w:r>
      <w:r>
        <w:t xml:space="preserve"> </w:t>
      </w:r>
      <w:r>
        <w:t xml:space="preserve">riña, excluyendo cuasidelitos para aislar la violencia letal intencional—,</w:t>
      </w:r>
      <w:r>
        <w:t xml:space="preserve"> </w:t>
      </w:r>
      <w:r>
        <w:t xml:space="preserve">cuyos registros administrativos tienen cifra negra prácticamente nula: los</w:t>
      </w:r>
      <w:r>
        <w:t xml:space="preserve"> </w:t>
      </w:r>
      <w:r>
        <w:t xml:space="preserve">homicidios generan obligación institucional de investigación con independencia</w:t>
      </w:r>
      <w:r>
        <w:t xml:space="preserve"> </w:t>
      </w:r>
      <w:r>
        <w:t xml:space="preserve">de la denuncia formal. Si la violencia real está aumentando, los homicidios</w:t>
      </w:r>
      <w:r>
        <w:t xml:space="preserve"> </w:t>
      </w:r>
      <w:r>
        <w:t xml:space="preserve">deben mostrar tendencia convergente con los robos violentos. El segundo placebo</w:t>
      </w:r>
      <w:r>
        <w:t xml:space="preserve"> </w:t>
      </w:r>
      <w:r>
        <w:t xml:space="preserve">positivo (P3) usa los secuestros</w:t>
      </w:r>
      <w:r>
        <w:rPr>
          <w:rStyle w:val="FootnoteReference"/>
        </w:rPr>
        <w:footnoteReference w:id="23"/>
      </w:r>
      <w:r>
        <w:t xml:space="preserve"> </w:t>
      </w:r>
      <w:r>
        <w:t xml:space="preserve">registrados en el CCH; si el crimen organizado coercitivo se</w:t>
      </w:r>
      <w:r>
        <w:t xml:space="preserve"> </w:t>
      </w:r>
      <w:r>
        <w:t xml:space="preserve">expandió en el período 2022–2025, el modelo debe registrar crecimiento en</w:t>
      </w:r>
      <w:r>
        <w:t xml:space="preserve"> </w:t>
      </w:r>
      <w:r>
        <w:t xml:space="preserve">los secuestros. Adicionalmente, un modelo sobre los homicidios confirmados del</w:t>
      </w:r>
      <w:r>
        <w:t xml:space="preserve"> </w:t>
      </w:r>
      <w:r>
        <w:t xml:space="preserve">CPHDV (2018–2025) provee triangulación externa: el CPHDV consolida la cifra</w:t>
      </w:r>
      <w:r>
        <w:t xml:space="preserve"> </w:t>
      </w:r>
      <w:r>
        <w:t xml:space="preserve">de homicidios integrando registros de Carabineros, PDI, Servicio Médico Legal</w:t>
      </w:r>
      <w:r>
        <w:t xml:space="preserve"> </w:t>
      </w:r>
      <w:r>
        <w:t xml:space="preserve">y Ministerio Público, logrando cobertura prácticamente completa del universo</w:t>
      </w:r>
      <w:r>
        <w:t xml:space="preserve"> </w:t>
      </w:r>
      <w:r>
        <w:t xml:space="preserve">de muertes violentas intencionales.</w:t>
      </w:r>
    </w:p>
    <w:bookmarkEnd w:id="24"/>
    <w:bookmarkEnd w:id="25"/>
    <w:bookmarkStart w:id="58" w:name="sec:resultados"/>
    <w:p>
      <w:pPr>
        <w:pStyle w:val="Heading1"/>
      </w:pPr>
      <w:r>
        <w:t xml:space="preserve">Resultados empíricos</w:t>
      </w:r>
    </w:p>
    <w:bookmarkStart w:id="47" w:name="sub:descriptivo"/>
    <w:p>
      <w:pPr>
        <w:pStyle w:val="Heading2"/>
      </w:pPr>
      <w:r>
        <w:t xml:space="preserve">Tendencias agregadas y composición del delito patrimonial</w:t>
      </w:r>
    </w:p>
    <w:p>
      <w:pPr>
        <w:pStyle w:val="FirstParagraph"/>
      </w:pPr>
      <w:r>
        <w:t xml:space="preserve">Entre enero de 2013 y diciembre de 2025, la serie mensual de casos policiales por</w:t>
      </w:r>
      <w:r>
        <w:t xml:space="preserve"> </w:t>
      </w:r>
      <w:r>
        <w:t xml:space="preserve">categoría C3 articula tres episodios que son clave para entender la dinámica de</w:t>
      </w:r>
      <w:r>
        <w:t xml:space="preserve"> </w:t>
      </w:r>
      <w:r>
        <w:t xml:space="preserve">la criminalidad patrimonial en Chile. Durante el estallido social (octubre de 2019 a</w:t>
      </w:r>
      <w:r>
        <w:t xml:space="preserve"> </w:t>
      </w:r>
      <w:r>
        <w:t xml:space="preserve">febrero de 2020), los robos violentos y los robos por sorpresa experimentaron alzas</w:t>
      </w:r>
      <w:r>
        <w:t xml:space="preserve"> </w:t>
      </w:r>
      <w:r>
        <w:t xml:space="preserve">transitorias mientras que los robos no violentos permanecieron prácticamente</w:t>
      </w:r>
      <w:r>
        <w:t xml:space="preserve"> </w:t>
      </w:r>
      <w:r>
        <w:t xml:space="preserve">inalterados—una asimetría que sugiere que el desorden social activó el delito</w:t>
      </w:r>
      <w:r>
        <w:t xml:space="preserve"> </w:t>
      </w:r>
      <w:r>
        <w:t xml:space="preserve">de confrontación directa pero no alteró la dinámica de oportunidad de los robos</w:t>
      </w:r>
      <w:r>
        <w:t xml:space="preserve"> </w:t>
      </w:r>
      <w:r>
        <w:t xml:space="preserve">sin contacto con víctimas. A continuación, la pandemia provocó un colapso generalizado, más pronunciado</w:t>
      </w:r>
      <w:r>
        <w:t xml:space="preserve"> </w:t>
      </w:r>
      <w:r>
        <w:t xml:space="preserve">para los robos por sorpresa—cuya ocurrencia depende tanto de la circulación de</w:t>
      </w:r>
      <w:r>
        <w:t xml:space="preserve"> </w:t>
      </w:r>
      <w:r>
        <w:t xml:space="preserve">personas en el espacio público como de la frecuentación del transporte</w:t>
      </w:r>
      <w:r>
        <w:t xml:space="preserve"> </w:t>
      </w:r>
      <w:r>
        <w:t xml:space="preserve">colectivo—que para los robos violentos. En</w:t>
      </w:r>
      <w:r>
        <w:t xml:space="preserve"> </w:t>
      </w:r>
      <w:r>
        <w:t xml:space="preserve">la reactivación post-pandemia (2022–2025) los tres tipos se recuperaron sin retomar</w:t>
      </w:r>
      <w:r>
        <w:t xml:space="preserve"> </w:t>
      </w:r>
      <w:r>
        <w:t xml:space="preserve">los niveles del quinquenio previo, medidos en tasas por 100.000 habitantes</w:t>
      </w:r>
      <w:r>
        <w:t xml:space="preserve"> </w:t>
      </w:r>
      <w:r>
        <w:t xml:space="preserve">(Figura </w:t>
      </w:r>
      <w:hyperlink w:anchor="fig:serie">
        <w:r>
          <w:rPr>
            <w:rStyle w:val="Hyperlink"/>
          </w:rPr>
          <w:t xml:space="preserve">1</w:t>
        </w:r>
      </w:hyperlink>
      <w:r>
        <w:t xml:space="preserve">).</w:t>
      </w:r>
    </w:p>
    <w:bookmarkStart w:id="29" w:name="fig:serie"/>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466850"/>
                  <wp:effectExtent b="0" l="0" r="0" t="0"/>
                  <wp:docPr descr="" title="" id="27" name="Picture"/>
                  <a:graphic>
                    <a:graphicData uri="http://schemas.openxmlformats.org/drawingml/2006/picture">
                      <pic:pic>
                        <pic:nvPicPr>
                          <pic:cNvPr descr="fig1_serie_mensual_nacional.pdf" id="28" name="Picture"/>
                          <pic:cNvPicPr>
                            <a:picLocks noChangeArrowheads="1" noChangeAspect="1"/>
                          </pic:cNvPicPr>
                        </pic:nvPicPr>
                        <pic:blipFill>
                          <a:blip r:embed="rId26"/>
                          <a:stretch>
                            <a:fillRect/>
                          </a:stretch>
                        </pic:blipFill>
                        <pic:spPr bwMode="auto">
                          <a:xfrm>
                            <a:off x="0" y="0"/>
                            <a:ext cx="2667000" cy="1466850"/>
                          </a:xfrm>
                          <a:prstGeom prst="rect">
                            <a:avLst/>
                          </a:prstGeom>
                          <a:noFill/>
                          <a:ln w="9525">
                            <a:noFill/>
                            <a:headEnd/>
                            <a:tailEnd/>
                          </a:ln>
                        </pic:spPr>
                      </pic:pic>
                    </a:graphicData>
                  </a:graphic>
                </wp:inline>
              </w:drawing>
            </w:r>
          </w:p>
        </w:tc>
        <w:tc>
          <w:tcPr/>
          <w:p>
            <w:pPr>
              <w:jc w:val="center"/>
            </w:pPr>
            <w:r>
              <w:rPr>
                <w:i/>
                <w:iCs/>
              </w:rPr>
              <w:t xml:space="preserve">Nota:</w:t>
            </w:r>
            <w:r>
              <w:t xml:space="preserve"> </w:t>
            </w:r>
            <w:r>
              <w:t xml:space="preserve">Las bandas sombreadas corresponden al estallido social (oct. 2019–feb. 2020) y a la pandemia (mar. 2020–dic. 2021). Tasas por 100.000 habitantes.</w:t>
            </w:r>
            <w:r>
              <w:t xml:space="preserve"> </w:t>
            </w:r>
            <w:r>
              <w:t xml:space="preserve">Fuente:</w:t>
            </w:r>
            <w:r>
              <w:t xml:space="preserve"> </w:t>
            </w:r>
            <w:r>
              <w:t xml:space="preserve">Instituto Nacional de Estadísticas (2026)</w:t>
            </w:r>
            <w:r>
              <w:t xml:space="preserve">; proyecciones INE Base 2024 (nivel nacional).</w:t>
            </w:r>
          </w:p>
        </w:tc>
      </w:tr>
    </w:tbl>
    <w:p>
      <w:pPr>
        <w:pStyle w:val="ImageCaption"/>
      </w:pPr>
      <w:r>
        <w:t xml:space="preserve">Serie mensual de casos policiales por categoría C3, Chile 2013–2025.</w:t>
      </w:r>
    </w:p>
    <w:bookmarkEnd w:id="29"/>
    <w:p>
      <w:pPr>
        <w:pStyle w:val="BodyText"/>
      </w:pPr>
      <w:r>
        <w:t xml:space="preserve">La Figura </w:t>
      </w:r>
      <w:hyperlink w:anchor="fig:serie">
        <w:r>
          <w:rPr>
            <w:rStyle w:val="Hyperlink"/>
          </w:rPr>
          <w:t xml:space="preserve">1</w:t>
        </w:r>
      </w:hyperlink>
      <w:r>
        <w:t xml:space="preserve"> </w:t>
      </w:r>
      <w:r>
        <w:t xml:space="preserve">ilustra las trayectorias mensuales diferenciadas de los</w:t>
      </w:r>
      <w:r>
        <w:t xml:space="preserve"> </w:t>
      </w:r>
      <w:r>
        <w:t xml:space="preserve">tres tipos de robo. Los tres episodios—estallido, pandemia y reactivación—dejan</w:t>
      </w:r>
      <w:r>
        <w:t xml:space="preserve"> </w:t>
      </w:r>
      <w:r>
        <w:t xml:space="preserve">huellas distintas en cada categoría, lo que anticipa la utilidad analítica de la</w:t>
      </w:r>
      <w:r>
        <w:t xml:space="preserve"> </w:t>
      </w:r>
      <w:r>
        <w:t xml:space="preserve">clasificación tricotómica.</w:t>
      </w:r>
    </w:p>
    <w:p>
      <w:pPr>
        <w:pStyle w:val="BodyText"/>
      </w:pPr>
      <w:r>
        <w:t xml:space="preserve">Las tasas anuales revelan el patrón estructural con mayor claridad. Los robos</w:t>
      </w:r>
      <w:r>
        <w:t xml:space="preserve"> </w:t>
      </w:r>
      <w:r>
        <w:t xml:space="preserve">violentos describieron una trayectoria ascendente desde 286 por 100.000</w:t>
      </w:r>
      <w:r>
        <w:t xml:space="preserve"> </w:t>
      </w:r>
      <w:r>
        <w:t xml:space="preserve">habitantes en 2013 hasta 354 en 2019, colapsaron a 206 durante la pandemia (2021), y</w:t>
      </w:r>
      <w:r>
        <w:t xml:space="preserve"> </w:t>
      </w:r>
      <w:r>
        <w:t xml:space="preserve">se recuperaron hasta alcanzar un nuevo máximo de 343 en 2023 antes de iniciar una inflexión a la baja en 2024–2025 (283 en 2025). Lo relevante es que, tras el máximo histórico de 2023, la inflexión descendente</w:t>
      </w:r>
      <w:r>
        <w:t xml:space="preserve"> </w:t>
      </w:r>
      <w:r>
        <w:t xml:space="preserve">de 2024–2025 (283 por 100.000) anticipa el hallazgo formal del modelo</w:t>
      </w:r>
      <w:r>
        <w:t xml:space="preserve"> </w:t>
      </w:r>
      <w:r>
        <w:t xml:space="preserve">Poisson-QMLE—presentado en la Sección </w:t>
      </w:r>
      <w:hyperlink w:anchor="sub:inferencial">
        <w:r>
          <w:rPr>
            <w:rStyle w:val="Hyperlink"/>
          </w:rPr>
          <w:t xml:space="preserve">4.2</w:t>
        </w:r>
      </w:hyperlink>
      <w:r>
        <w:t xml:space="preserve">—que</w:t>
      </w:r>
      <w:r>
        <w:t xml:space="preserve"> </w:t>
      </w:r>
      <w:r>
        <w:t xml:space="preserve">cuantifica esa tendencia con IRR = 0</w:t>
      </w:r>
      <w:r>
        <w:t xml:space="preserve">,</w:t>
      </w:r>
      <w:r>
        <w:t xml:space="preserve">868 (</w:t>
      </w:r>
      <m:oMath>
        <m:r>
          <m:t>p</m:t>
        </m:r>
        <m:r>
          <m:rPr>
            <m:sty m:val="p"/>
          </m:rPr>
          <m:t>=</m:t>
        </m:r>
        <m:r>
          <m:t>0</m:t>
        </m:r>
        <m:r>
          <m:rPr>
            <m:sty m:val="p"/>
          </m:rPr>
          <m:t>,</m:t>
        </m:r>
        <m:r>
          <m:t>057</m:t>
        </m:r>
      </m:oMath>
      <w:r>
        <w:t xml:space="preserve"> </w:t>
      </w:r>
      <w:r>
        <w:t xml:space="preserve">por</w:t>
      </w:r>
      <w:r>
        <w:t xml:space="preserve"> </w:t>
      </w:r>
      <w:r>
        <w:rPr>
          <w:i/>
          <w:iCs/>
        </w:rPr>
        <w:t xml:space="preserve">Wild Cluster Bootstrap</w:t>
      </w:r>
      <w:r>
        <w:t xml:space="preserve">)</w:t>
      </w:r>
      <w:r>
        <w:t xml:space="preserve"> </w:t>
      </w:r>
      <w:r>
        <w:t xml:space="preserve">para el Spline 4 (septiembre 2022–diciembre 2025).</w:t>
      </w:r>
      <w:r>
        <w:rPr>
          <w:rStyle w:val="FootnoteReference"/>
        </w:rPr>
        <w:footnoteReference w:id="30"/>
      </w:r>
      <w:r>
        <w:t xml:space="preserve"> </w:t>
      </w:r>
      <w:r>
        <w:t xml:space="preserve">Los robos no</w:t>
      </w:r>
      <w:r>
        <w:t xml:space="preserve"> </w:t>
      </w:r>
      <w:r>
        <w:t xml:space="preserve">violentos muestran un declive secular que abarca todo el período: de cerca de 1.657</w:t>
      </w:r>
      <w:r>
        <w:t xml:space="preserve"> </w:t>
      </w:r>
      <w:r>
        <w:t xml:space="preserve">por 100.000 en 2013 a 1.130 en 2024, sin recuperación significativa</w:t>
      </w:r>
      <w:r>
        <w:t xml:space="preserve"> </w:t>
      </w:r>
      <w:r>
        <w:t xml:space="preserve">post-pandemia. Esta divergencia en trayectorias—robos violentos con nueva inflexión descendente, no violentos en declive pronunciado y sostenido—es el mecanismo que genera</w:t>
      </w:r>
      <w:r>
        <w:t xml:space="preserve"> </w:t>
      </w:r>
      <w:r>
        <w:t xml:space="preserve">la paradoja del ratio creciente (Figura </w:t>
      </w:r>
      <w:hyperlink w:anchor="fig:tasas">
        <w:r>
          <w:rPr>
            <w:rStyle w:val="Hyperlink"/>
          </w:rPr>
          <w:t xml:space="preserve">2</w:t>
        </w:r>
      </w:hyperlink>
      <w:r>
        <w:t xml:space="preserve">).</w:t>
      </w:r>
    </w:p>
    <w:bookmarkStart w:id="34" w:name="fig:tasas"/>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466850"/>
                  <wp:effectExtent b="0" l="0" r="0" t="0"/>
                  <wp:docPr descr="" title="" id="32" name="Picture"/>
                  <a:graphic>
                    <a:graphicData uri="http://schemas.openxmlformats.org/drawingml/2006/picture">
                      <pic:pic>
                        <pic:nvPicPr>
                          <pic:cNvPr descr="fig2_tasa_anual_nacional.pdf" id="33" name="Picture"/>
                          <pic:cNvPicPr>
                            <a:picLocks noChangeArrowheads="1" noChangeAspect="1"/>
                          </pic:cNvPicPr>
                        </pic:nvPicPr>
                        <pic:blipFill>
                          <a:blip r:embed="rId31"/>
                          <a:stretch>
                            <a:fillRect/>
                          </a:stretch>
                        </pic:blipFill>
                        <pic:spPr bwMode="auto">
                          <a:xfrm>
                            <a:off x="0" y="0"/>
                            <a:ext cx="2667000" cy="1466850"/>
                          </a:xfrm>
                          <a:prstGeom prst="rect">
                            <a:avLst/>
                          </a:prstGeom>
                          <a:noFill/>
                          <a:ln w="9525">
                            <a:noFill/>
                            <a:headEnd/>
                            <a:tailEnd/>
                          </a:ln>
                        </pic:spPr>
                      </pic:pic>
                    </a:graphicData>
                  </a:graphic>
                </wp:inline>
              </w:drawing>
            </w:r>
          </w:p>
        </w:tc>
        <w:tc>
          <w:tcPr/>
          <w:p>
            <w:pPr>
              <w:jc w:val="center"/>
            </w:pPr>
            <w:r>
              <w:rPr>
                <w:i/>
                <w:iCs/>
              </w:rPr>
              <w:t xml:space="preserve">Nota:</w:t>
            </w:r>
            <w:r>
              <w:t xml:space="preserve"> </w:t>
            </w:r>
            <w:r>
              <w:t xml:space="preserve">La línea horizontal de referencia corresponde al promedio de la línea</w:t>
            </w:r>
            <w:r>
              <w:t xml:space="preserve"> </w:t>
            </w:r>
            <w:r>
              <w:t xml:space="preserve">base (2016–2019). Fuente:</w:t>
            </w:r>
            <w:r>
              <w:t xml:space="preserve"> </w:t>
            </w:r>
            <w:r>
              <w:t xml:space="preserve">Instituto Nacional de Estadísticas (2026)</w:t>
            </w:r>
            <w:r>
              <w:t xml:space="preserve">; proyecciones INE Base 2024</w:t>
            </w:r>
            <w:r>
              <w:t xml:space="preserve"> </w:t>
            </w:r>
            <w:r>
              <w:t xml:space="preserve">(nivel nacional).</w:t>
            </w:r>
          </w:p>
        </w:tc>
      </w:tr>
    </w:tbl>
    <w:p>
      <w:pPr>
        <w:pStyle w:val="ImageCaption"/>
      </w:pPr>
      <w:r>
        <w:t xml:space="preserve">Tasas anuales de casos policiales por 100.000 habitantes, por categoría C3,</w:t>
      </w:r>
      <w:r>
        <w:t xml:space="preserve"> </w:t>
      </w:r>
      <w:r>
        <w:t xml:space="preserve">Chile 2013–2025.</w:t>
      </w:r>
    </w:p>
    <w:bookmarkEnd w:id="34"/>
    <w:p>
      <w:pPr>
        <w:pStyle w:val="BodyText"/>
      </w:pPr>
      <w:r>
        <w:t xml:space="preserve">La Tabla </w:t>
      </w:r>
      <w:hyperlink w:anchor="tab:descriptivo">
        <w:r>
          <w:rPr>
            <w:rStyle w:val="Hyperlink"/>
          </w:rPr>
          <w:t xml:space="preserve">2</w:t>
        </w:r>
      </w:hyperlink>
      <w:r>
        <w:t xml:space="preserve"> </w:t>
      </w:r>
      <w:r>
        <w:t xml:space="preserve">sintetiza estos contrastes para las tres categorías</w:t>
      </w:r>
      <w:r>
        <w:t xml:space="preserve"> </w:t>
      </w:r>
      <w:r>
        <w:t xml:space="preserve">C3. Los robos violentos presentaron una tasa media de 14</w:t>
      </w:r>
      <w:r>
        <w:t xml:space="preserve">,</w:t>
      </w:r>
      <w:r>
        <w:t xml:space="preserve">9 por 100.000 habitantes en</w:t>
      </w:r>
      <w:r>
        <w:t xml:space="preserve"> </w:t>
      </w:r>
      <w:r>
        <w:t xml:space="preserve">la línea base, con un repunte transitorio a 17</w:t>
      </w:r>
      <w:r>
        <w:t xml:space="preserve">,</w:t>
      </w:r>
      <w:r>
        <w:t xml:space="preserve">4 durante el estallido social,</w:t>
      </w:r>
      <w:r>
        <w:t xml:space="preserve"> </w:t>
      </w:r>
      <w:r>
        <w:t xml:space="preserve">caída a 10</w:t>
      </w:r>
      <w:r>
        <w:t xml:space="preserve">,</w:t>
      </w:r>
      <w:r>
        <w:t xml:space="preserve">3 en pandemia y recuperación a 16</w:t>
      </w:r>
      <w:r>
        <w:t xml:space="preserve">,</w:t>
      </w:r>
      <w:r>
        <w:t xml:space="preserve">3 en el período post-pandemia.</w:t>
      </w:r>
      <w:r>
        <w:t xml:space="preserve"> </w:t>
      </w:r>
      <w:r>
        <w:t xml:space="preserve">Los robos por sorpresa, con una tasa de 9</w:t>
      </w:r>
      <w:r>
        <w:t xml:space="preserve">,</w:t>
      </w:r>
      <w:r>
        <w:t xml:space="preserve">4 en la línea base, cayeron de forma</w:t>
      </w:r>
      <w:r>
        <w:t xml:space="preserve"> </w:t>
      </w:r>
      <w:r>
        <w:t xml:space="preserve">pronunciada durante la pandemia (3</w:t>
      </w:r>
      <w:r>
        <w:t xml:space="preserve">,</w:t>
      </w:r>
      <w:r>
        <w:t xml:space="preserve">9) y se mantuvieron deprimidos en el post-pandemia</w:t>
      </w:r>
      <w:r>
        <w:t xml:space="preserve"> </w:t>
      </w:r>
      <w:r>
        <w:t xml:space="preserve">(5</w:t>
      </w:r>
      <w:r>
        <w:t xml:space="preserve">,</w:t>
      </w:r>
      <w:r>
        <w:t xml:space="preserve">8)—muy por debajo de su nivel histórico. Los robos no violentos son el</w:t>
      </w:r>
      <w:r>
        <w:t xml:space="preserve"> </w:t>
      </w:r>
      <w:r>
        <w:t xml:space="preserve">componente de mayor volumen, con tasa de 106</w:t>
      </w:r>
      <w:r>
        <w:t xml:space="preserve">,</w:t>
      </w:r>
      <w:r>
        <w:t xml:space="preserve">7 en la línea base, caída a 60</w:t>
      </w:r>
      <w:r>
        <w:t xml:space="preserve">,</w:t>
      </w:r>
      <w:r>
        <w:t xml:space="preserve">5 en</w:t>
      </w:r>
      <w:r>
        <w:t xml:space="preserve"> </w:t>
      </w:r>
      <w:r>
        <w:t xml:space="preserve">pandemia y recuperación parcial a 90</w:t>
      </w:r>
      <w:r>
        <w:t xml:space="preserve">,</w:t>
      </w:r>
      <w:r>
        <w:t xml:space="preserve">9 en el período post-pandemia.</w:t>
      </w:r>
    </w:p>
    <w:p>
      <w:pPr>
        <w:pStyle w:val="BodyText"/>
      </w:pPr>
      <w:r>
        <w:t xml:space="preserve">max width=</w:t>
      </w:r>
    </w:p>
    <w:bookmarkStart w:id="35" w:name="tab:descriptivo"/>
    <w:p>
      <w:pPr>
        <w:pStyle w:val="TableCaption"/>
      </w:pPr>
      <w:r>
        <w:t xml:space="preserve">Estadísticos descriptivos por período y categoría C3 (panel regional)</w:t>
      </w:r>
    </w:p>
    <w:tbl>
      <w:tblPr>
        <w:tblStyle w:val="Table"/>
        <w:tblW w:type="auto" w:w="0"/>
        <w:tblLook w:firstRow="1" w:lastRow="0" w:firstColumn="0" w:lastColumn="0" w:noHBand="0" w:noVBand="0" w:val="0020"/>
        <w:tblCaption w:val="Estadísticos descriptivos por período y categoría C3 (panel regional)"/>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p>
        </w:tc>
        <w:tc>
          <w:tcPr/>
          <w:p>
            <w:pPr>
              <w:pStyle w:val="Compact"/>
            </w:pPr>
          </w:p>
        </w:tc>
        <w:tc>
          <w:tcPr>
            <w:gridSpan w:val="3"/>
          </w:tcPr>
          <w:p>
            <w:pPr>
              <w:pStyle w:val="Compact"/>
              <w:jc w:val="center"/>
            </w:pPr>
            <w:r>
              <w:rPr>
                <w:b/>
                <w:bCs/>
              </w:rPr>
              <w:t xml:space="preserve">Robos violentos (C3.1)</w:t>
            </w:r>
          </w:p>
        </w:tc>
        <w:tc>
          <w:tcPr>
            <w:gridSpan w:val="3"/>
          </w:tcPr>
          <w:p>
            <w:pPr>
              <w:pStyle w:val="Compact"/>
              <w:jc w:val="center"/>
            </w:pPr>
            <w:r>
              <w:rPr>
                <w:b/>
                <w:bCs/>
              </w:rPr>
              <w:t xml:space="preserve">Robos por sorpresa (C3.2)</w:t>
            </w:r>
          </w:p>
        </w:tc>
        <w:tc>
          <w:tcPr>
            <w:gridSpan w:val="3"/>
          </w:tcPr>
          <w:p>
            <w:pPr>
              <w:pStyle w:val="Compact"/>
              <w:jc w:val="center"/>
            </w:pPr>
            <w:r>
              <w:rPr>
                <w:b/>
                <w:bCs/>
              </w:rPr>
              <w:t xml:space="preserve">Robos no violentos (C3.3)</w:t>
            </w:r>
          </w:p>
        </w:tc>
        <w:tc>
          <w:tcPr/>
          <w:p>
            <w:pPr>
              <w:pStyle w:val="Compact"/>
            </w:pPr>
          </w:p>
        </w:tc>
      </w:tr>
      <w:tr>
        <w:tc>
          <w:tcPr/>
          <w:p>
            <w:pPr>
              <w:pStyle w:val="Compact"/>
              <w:jc w:val="left"/>
            </w:pPr>
            <w:r>
              <w:t xml:space="preserve">3-5</w:t>
            </w:r>
            <w:r>
              <w:t xml:space="preserve">(lr)</w:t>
            </w:r>
            <w:r>
              <w:t xml:space="preserve">6-8</w:t>
            </w:r>
            <w:r>
              <w:t xml:space="preserve">(lr)</w:t>
            </w:r>
            <w:r>
              <w:t xml:space="preserve">9-11</w:t>
            </w:r>
            <w:r>
              <w:t xml:space="preserve"> </w:t>
            </w:r>
            <w:r>
              <w:rPr>
                <w:b/>
                <w:bCs/>
              </w:rPr>
              <w:t xml:space="preserve">Período</w:t>
            </w:r>
          </w:p>
        </w:tc>
        <w:tc>
          <w:tcPr/>
          <w:p>
            <w:pPr>
              <w:pStyle w:val="Compact"/>
              <w:jc w:val="center"/>
            </w:pPr>
            <w:r>
              <w:rPr>
                <w:b/>
                <w:bCs/>
              </w:rPr>
              <w:t xml:space="preserve">N</w:t>
            </w:r>
          </w:p>
        </w:tc>
        <w:tc>
          <w:tcPr/>
          <w:p>
            <w:pPr>
              <w:pStyle w:val="Compact"/>
              <w:jc w:val="right"/>
            </w:pPr>
            <w:r>
              <w:rPr>
                <w:b/>
                <w:bCs/>
              </w:rPr>
              <w:t xml:space="preserve">Media</w:t>
            </w:r>
          </w:p>
        </w:tc>
        <w:tc>
          <w:tcPr/>
          <w:p>
            <w:pPr>
              <w:pStyle w:val="Compact"/>
              <w:jc w:val="right"/>
            </w:pPr>
            <w:r>
              <w:rPr>
                <w:b/>
                <w:bCs/>
              </w:rPr>
              <w:t xml:space="preserve">DE</w:t>
            </w:r>
          </w:p>
        </w:tc>
        <w:tc>
          <w:tcPr/>
          <w:p>
            <w:pPr>
              <w:pStyle w:val="Compact"/>
              <w:jc w:val="right"/>
            </w:pPr>
            <w:r>
              <w:rPr>
                <w:b/>
                <w:bCs/>
              </w:rPr>
              <w:t xml:space="preserve">Tasa</w:t>
            </w:r>
          </w:p>
        </w:tc>
        <w:tc>
          <w:tcPr/>
          <w:p>
            <w:pPr>
              <w:pStyle w:val="Compact"/>
              <w:jc w:val="right"/>
            </w:pPr>
            <w:r>
              <w:rPr>
                <w:b/>
                <w:bCs/>
              </w:rPr>
              <w:t xml:space="preserve">Media</w:t>
            </w:r>
          </w:p>
        </w:tc>
        <w:tc>
          <w:tcPr/>
          <w:p>
            <w:pPr>
              <w:pStyle w:val="Compact"/>
              <w:jc w:val="right"/>
            </w:pPr>
            <w:r>
              <w:rPr>
                <w:b/>
                <w:bCs/>
              </w:rPr>
              <w:t xml:space="preserve">DE</w:t>
            </w:r>
          </w:p>
        </w:tc>
        <w:tc>
          <w:tcPr/>
          <w:p>
            <w:pPr>
              <w:pStyle w:val="Compact"/>
              <w:jc w:val="right"/>
            </w:pPr>
            <w:r>
              <w:rPr>
                <w:b/>
                <w:bCs/>
              </w:rPr>
              <w:t xml:space="preserve">Tasa</w:t>
            </w:r>
          </w:p>
        </w:tc>
        <w:tc>
          <w:tcPr/>
          <w:p>
            <w:pPr>
              <w:pStyle w:val="Compact"/>
              <w:jc w:val="right"/>
            </w:pPr>
            <w:r>
              <w:rPr>
                <w:b/>
                <w:bCs/>
              </w:rPr>
              <w:t xml:space="preserve">Media</w:t>
            </w:r>
          </w:p>
        </w:tc>
        <w:tc>
          <w:tcPr/>
          <w:p>
            <w:pPr>
              <w:pStyle w:val="Compact"/>
              <w:jc w:val="right"/>
            </w:pPr>
            <w:r>
              <w:rPr>
                <w:b/>
                <w:bCs/>
              </w:rPr>
              <w:t xml:space="preserve">DE</w:t>
            </w:r>
          </w:p>
        </w:tc>
        <w:tc>
          <w:tcPr/>
          <w:p>
            <w:pPr>
              <w:pStyle w:val="Compact"/>
              <w:jc w:val="right"/>
            </w:pPr>
            <w:r>
              <w:rPr>
                <w:b/>
                <w:bCs/>
              </w:rPr>
              <w:t xml:space="preserve">Tasa</w:t>
            </w:r>
          </w:p>
        </w:tc>
        <w:tc>
          <w:tcPr/>
          <w:p>
            <w:pPr>
              <w:pStyle w:val="Compact"/>
            </w:pPr>
          </w:p>
        </w:tc>
      </w:tr>
      <w:tr>
        <w:tc>
          <w:tcPr/>
          <w:p>
            <w:pPr>
              <w:pStyle w:val="Compact"/>
              <w:jc w:val="left"/>
            </w:pPr>
            <w:r>
              <w:t xml:space="preserve">Pre-línea base (2013–2015)</w:t>
            </w:r>
          </w:p>
        </w:tc>
        <w:tc>
          <w:tcPr/>
          <w:p>
            <w:pPr>
              <w:pStyle w:val="Compact"/>
              <w:jc w:val="center"/>
            </w:pPr>
            <w:r>
              <w:t xml:space="preserve">36</w:t>
            </w:r>
          </w:p>
        </w:tc>
        <w:tc>
          <w:tcPr/>
          <w:p>
            <w:pPr>
              <w:pStyle w:val="Compact"/>
              <w:jc w:val="right"/>
            </w:pPr>
            <w:r>
              <w:t xml:space="preserve">290</w:t>
            </w:r>
            <w:r>
              <w:t xml:space="preserve">,</w:t>
            </w:r>
            <w:r>
              <w:t xml:space="preserve">3</w:t>
            </w:r>
          </w:p>
        </w:tc>
        <w:tc>
          <w:tcPr/>
          <w:p>
            <w:pPr>
              <w:pStyle w:val="Compact"/>
              <w:jc w:val="right"/>
            </w:pPr>
            <w:r>
              <w:t xml:space="preserve">719</w:t>
            </w:r>
            <w:r>
              <w:t xml:space="preserve">,</w:t>
            </w:r>
            <w:r>
              <w:t xml:space="preserve">5</w:t>
            </w:r>
          </w:p>
        </w:tc>
        <w:tc>
          <w:tcPr/>
          <w:p>
            <w:pPr>
              <w:pStyle w:val="Compact"/>
              <w:jc w:val="right"/>
            </w:pPr>
            <w:r>
              <w:t xml:space="preserve">15</w:t>
            </w:r>
            <w:r>
              <w:t xml:space="preserve">,</w:t>
            </w:r>
            <w:r>
              <w:t xml:space="preserve">5</w:t>
            </w:r>
          </w:p>
        </w:tc>
        <w:tc>
          <w:tcPr/>
          <w:p>
            <w:pPr>
              <w:pStyle w:val="Compact"/>
              <w:jc w:val="right"/>
            </w:pPr>
            <w:r>
              <w:t xml:space="preserve">177</w:t>
            </w:r>
            <w:r>
              <w:t xml:space="preserve">,</w:t>
            </w:r>
            <w:r>
              <w:t xml:space="preserve">4</w:t>
            </w:r>
          </w:p>
        </w:tc>
        <w:tc>
          <w:tcPr/>
          <w:p>
            <w:pPr>
              <w:pStyle w:val="Compact"/>
              <w:jc w:val="right"/>
            </w:pPr>
            <w:r>
              <w:t xml:space="preserve">364</w:t>
            </w:r>
            <w:r>
              <w:t xml:space="preserve">,</w:t>
            </w:r>
            <w:r>
              <w:t xml:space="preserve">1</w:t>
            </w:r>
          </w:p>
        </w:tc>
        <w:tc>
          <w:tcPr/>
          <w:p>
            <w:pPr>
              <w:pStyle w:val="Compact"/>
              <w:jc w:val="right"/>
            </w:pPr>
            <w:r>
              <w:t xml:space="preserve">11</w:t>
            </w:r>
            <w:r>
              <w:t xml:space="preserve">,</w:t>
            </w:r>
            <w:r>
              <w:t xml:space="preserve">7</w:t>
            </w:r>
          </w:p>
        </w:tc>
        <w:tc>
          <w:tcPr/>
          <w:p>
            <w:pPr>
              <w:pStyle w:val="Compact"/>
              <w:jc w:val="right"/>
            </w:pPr>
            <w:r>
              <w:t xml:space="preserve">1.538</w:t>
            </w:r>
            <w:r>
              <w:t xml:space="preserve">,</w:t>
            </w:r>
            <w:r>
              <w:t xml:space="preserve">5</w:t>
            </w:r>
          </w:p>
        </w:tc>
        <w:tc>
          <w:tcPr/>
          <w:p>
            <w:pPr>
              <w:pStyle w:val="Compact"/>
              <w:jc w:val="right"/>
            </w:pPr>
            <w:r>
              <w:t xml:space="preserve">2.565</w:t>
            </w:r>
            <w:r>
              <w:t xml:space="preserve">,</w:t>
            </w:r>
            <w:r>
              <w:t xml:space="preserve">7</w:t>
            </w:r>
          </w:p>
        </w:tc>
        <w:tc>
          <w:tcPr/>
          <w:p>
            <w:pPr>
              <w:pStyle w:val="Compact"/>
              <w:jc w:val="right"/>
            </w:pPr>
            <w:r>
              <w:t xml:space="preserve">124</w:t>
            </w:r>
            <w:r>
              <w:t xml:space="preserve">,</w:t>
            </w:r>
            <w:r>
              <w:t xml:space="preserve">3</w:t>
            </w:r>
          </w:p>
        </w:tc>
        <w:tc>
          <w:tcPr/>
          <w:p>
            <w:pPr>
              <w:pStyle w:val="Compact"/>
            </w:pPr>
          </w:p>
        </w:tc>
      </w:tr>
      <w:tr>
        <w:tc>
          <w:tcPr/>
          <w:p>
            <w:pPr>
              <w:pStyle w:val="Compact"/>
              <w:jc w:val="left"/>
            </w:pPr>
            <w:r>
              <w:t xml:space="preserve">Línea base (2016–sep. 2019)</w:t>
            </w:r>
          </w:p>
        </w:tc>
        <w:tc>
          <w:tcPr/>
          <w:p>
            <w:pPr>
              <w:pStyle w:val="Compact"/>
              <w:jc w:val="center"/>
            </w:pPr>
            <w:r>
              <w:t xml:space="preserve">45</w:t>
            </w:r>
          </w:p>
        </w:tc>
        <w:tc>
          <w:tcPr/>
          <w:p>
            <w:pPr>
              <w:pStyle w:val="Compact"/>
              <w:jc w:val="right"/>
            </w:pPr>
            <w:r>
              <w:t xml:space="preserve">330</w:t>
            </w:r>
            <w:r>
              <w:t xml:space="preserve">,</w:t>
            </w:r>
            <w:r>
              <w:t xml:space="preserve">0</w:t>
            </w:r>
          </w:p>
        </w:tc>
        <w:tc>
          <w:tcPr/>
          <w:p>
            <w:pPr>
              <w:pStyle w:val="Compact"/>
              <w:jc w:val="right"/>
            </w:pPr>
            <w:r>
              <w:t xml:space="preserve">875</w:t>
            </w:r>
            <w:r>
              <w:t xml:space="preserve">,</w:t>
            </w:r>
            <w:r>
              <w:t xml:space="preserve">2</w:t>
            </w:r>
          </w:p>
        </w:tc>
        <w:tc>
          <w:tcPr/>
          <w:p>
            <w:pPr>
              <w:pStyle w:val="Compact"/>
              <w:jc w:val="right"/>
            </w:pPr>
            <w:r>
              <w:t xml:space="preserve">14</w:t>
            </w:r>
            <w:r>
              <w:t xml:space="preserve">,</w:t>
            </w:r>
            <w:r>
              <w:t xml:space="preserve">9</w:t>
            </w:r>
          </w:p>
        </w:tc>
        <w:tc>
          <w:tcPr/>
          <w:p>
            <w:pPr>
              <w:pStyle w:val="Compact"/>
              <w:jc w:val="right"/>
            </w:pPr>
            <w:r>
              <w:t xml:space="preserve">156</w:t>
            </w:r>
            <w:r>
              <w:t xml:space="preserve">,</w:t>
            </w:r>
            <w:r>
              <w:t xml:space="preserve">4</w:t>
            </w:r>
          </w:p>
        </w:tc>
        <w:tc>
          <w:tcPr/>
          <w:p>
            <w:pPr>
              <w:pStyle w:val="Compact"/>
              <w:jc w:val="right"/>
            </w:pPr>
            <w:r>
              <w:t xml:space="preserve">328</w:t>
            </w:r>
            <w:r>
              <w:t xml:space="preserve">,</w:t>
            </w:r>
            <w:r>
              <w:t xml:space="preserve">6</w:t>
            </w:r>
          </w:p>
        </w:tc>
        <w:tc>
          <w:tcPr/>
          <w:p>
            <w:pPr>
              <w:pStyle w:val="Compact"/>
              <w:jc w:val="right"/>
            </w:pPr>
            <w:r>
              <w:t xml:space="preserve">9</w:t>
            </w:r>
            <w:r>
              <w:t xml:space="preserve">,</w:t>
            </w:r>
            <w:r>
              <w:t xml:space="preserve">4</w:t>
            </w:r>
          </w:p>
        </w:tc>
        <w:tc>
          <w:tcPr/>
          <w:p>
            <w:pPr>
              <w:pStyle w:val="Compact"/>
              <w:jc w:val="right"/>
            </w:pPr>
            <w:r>
              <w:t xml:space="preserve">1.393</w:t>
            </w:r>
            <w:r>
              <w:t xml:space="preserve">,</w:t>
            </w:r>
            <w:r>
              <w:t xml:space="preserve">1</w:t>
            </w:r>
          </w:p>
        </w:tc>
        <w:tc>
          <w:tcPr/>
          <w:p>
            <w:pPr>
              <w:pStyle w:val="Compact"/>
              <w:jc w:val="right"/>
            </w:pPr>
            <w:r>
              <w:t xml:space="preserve">2.282</w:t>
            </w:r>
            <w:r>
              <w:t xml:space="preserve">,</w:t>
            </w:r>
            <w:r>
              <w:t xml:space="preserve">0</w:t>
            </w:r>
          </w:p>
        </w:tc>
        <w:tc>
          <w:tcPr/>
          <w:p>
            <w:pPr>
              <w:pStyle w:val="Compact"/>
              <w:jc w:val="right"/>
            </w:pPr>
            <w:r>
              <w:t xml:space="preserve">106</w:t>
            </w:r>
            <w:r>
              <w:t xml:space="preserve">,</w:t>
            </w:r>
            <w:r>
              <w:t xml:space="preserve">7</w:t>
            </w:r>
          </w:p>
        </w:tc>
        <w:tc>
          <w:tcPr/>
          <w:p>
            <w:pPr>
              <w:pStyle w:val="Compact"/>
            </w:pPr>
          </w:p>
        </w:tc>
      </w:tr>
      <w:tr>
        <w:tc>
          <w:tcPr/>
          <w:p>
            <w:pPr>
              <w:pStyle w:val="Compact"/>
              <w:jc w:val="left"/>
            </w:pPr>
            <w:r>
              <w:t xml:space="preserve">Estallido (oct. 2019–feb. 2020)</w:t>
            </w:r>
          </w:p>
        </w:tc>
        <w:tc>
          <w:tcPr/>
          <w:p>
            <w:pPr>
              <w:pStyle w:val="Compact"/>
              <w:jc w:val="center"/>
            </w:pPr>
            <w:r>
              <w:t xml:space="preserve">5</w:t>
            </w:r>
          </w:p>
        </w:tc>
        <w:tc>
          <w:tcPr/>
          <w:p>
            <w:pPr>
              <w:pStyle w:val="Compact"/>
              <w:jc w:val="right"/>
            </w:pPr>
            <w:r>
              <w:t xml:space="preserve">424</w:t>
            </w:r>
            <w:r>
              <w:t xml:space="preserve">,</w:t>
            </w:r>
            <w:r>
              <w:t xml:space="preserve">7</w:t>
            </w:r>
          </w:p>
        </w:tc>
        <w:tc>
          <w:tcPr/>
          <w:p>
            <w:pPr>
              <w:pStyle w:val="Compact"/>
              <w:jc w:val="right"/>
            </w:pPr>
            <w:r>
              <w:t xml:space="preserve">1.200</w:t>
            </w:r>
            <w:r>
              <w:t xml:space="preserve">,</w:t>
            </w:r>
            <w:r>
              <w:t xml:space="preserve">8</w:t>
            </w:r>
          </w:p>
        </w:tc>
        <w:tc>
          <w:tcPr/>
          <w:p>
            <w:pPr>
              <w:pStyle w:val="Compact"/>
              <w:jc w:val="right"/>
            </w:pPr>
            <w:r>
              <w:t xml:space="preserve">17</w:t>
            </w:r>
            <w:r>
              <w:t xml:space="preserve">,</w:t>
            </w:r>
            <w:r>
              <w:t xml:space="preserve">4</w:t>
            </w:r>
          </w:p>
        </w:tc>
        <w:tc>
          <w:tcPr/>
          <w:p>
            <w:pPr>
              <w:pStyle w:val="Compact"/>
              <w:jc w:val="right"/>
            </w:pPr>
            <w:r>
              <w:t xml:space="preserve">152</w:t>
            </w:r>
            <w:r>
              <w:t xml:space="preserve">,</w:t>
            </w:r>
            <w:r>
              <w:t xml:space="preserve">6</w:t>
            </w:r>
          </w:p>
        </w:tc>
        <w:tc>
          <w:tcPr/>
          <w:p>
            <w:pPr>
              <w:pStyle w:val="Compact"/>
              <w:jc w:val="right"/>
            </w:pPr>
            <w:r>
              <w:t xml:space="preserve">348</w:t>
            </w:r>
            <w:r>
              <w:t xml:space="preserve">,</w:t>
            </w:r>
            <w:r>
              <w:t xml:space="preserve">8</w:t>
            </w:r>
          </w:p>
        </w:tc>
        <w:tc>
          <w:tcPr/>
          <w:p>
            <w:pPr>
              <w:pStyle w:val="Compact"/>
              <w:jc w:val="right"/>
            </w:pPr>
            <w:r>
              <w:t xml:space="preserve">8</w:t>
            </w:r>
            <w:r>
              <w:t xml:space="preserve">,</w:t>
            </w:r>
            <w:r>
              <w:t xml:space="preserve">2</w:t>
            </w:r>
          </w:p>
        </w:tc>
        <w:tc>
          <w:tcPr/>
          <w:p>
            <w:pPr>
              <w:pStyle w:val="Compact"/>
              <w:jc w:val="right"/>
            </w:pPr>
            <w:r>
              <w:t xml:space="preserve">1.297</w:t>
            </w:r>
            <w:r>
              <w:t xml:space="preserve">,</w:t>
            </w:r>
            <w:r>
              <w:t xml:space="preserve">9</w:t>
            </w:r>
          </w:p>
        </w:tc>
        <w:tc>
          <w:tcPr/>
          <w:p>
            <w:pPr>
              <w:pStyle w:val="Compact"/>
              <w:jc w:val="right"/>
            </w:pPr>
            <w:r>
              <w:t xml:space="preserve">2.111</w:t>
            </w:r>
            <w:r>
              <w:t xml:space="preserve">,</w:t>
            </w:r>
            <w:r>
              <w:t xml:space="preserve">1</w:t>
            </w:r>
          </w:p>
        </w:tc>
        <w:tc>
          <w:tcPr/>
          <w:p>
            <w:pPr>
              <w:pStyle w:val="Compact"/>
              <w:jc w:val="right"/>
            </w:pPr>
            <w:r>
              <w:t xml:space="preserve">95</w:t>
            </w:r>
            <w:r>
              <w:t xml:space="preserve">,</w:t>
            </w:r>
            <w:r>
              <w:t xml:space="preserve">6</w:t>
            </w:r>
          </w:p>
        </w:tc>
        <w:tc>
          <w:tcPr/>
          <w:p>
            <w:pPr>
              <w:pStyle w:val="Compact"/>
            </w:pPr>
          </w:p>
        </w:tc>
      </w:tr>
      <w:tr>
        <w:tc>
          <w:tcPr/>
          <w:p>
            <w:pPr>
              <w:pStyle w:val="Compact"/>
              <w:jc w:val="left"/>
            </w:pPr>
            <w:r>
              <w:t xml:space="preserve">Pandemia (mar. 2020–dic. 2021)</w:t>
            </w:r>
          </w:p>
        </w:tc>
        <w:tc>
          <w:tcPr/>
          <w:p>
            <w:pPr>
              <w:pStyle w:val="Compact"/>
              <w:jc w:val="center"/>
            </w:pPr>
            <w:r>
              <w:t xml:space="preserve">22</w:t>
            </w:r>
          </w:p>
        </w:tc>
        <w:tc>
          <w:tcPr/>
          <w:p>
            <w:pPr>
              <w:pStyle w:val="Compact"/>
              <w:jc w:val="right"/>
            </w:pPr>
            <w:r>
              <w:t xml:space="preserve">247</w:t>
            </w:r>
            <w:r>
              <w:t xml:space="preserve">,</w:t>
            </w:r>
            <w:r>
              <w:t xml:space="preserve">2</w:t>
            </w:r>
          </w:p>
        </w:tc>
        <w:tc>
          <w:tcPr/>
          <w:p>
            <w:pPr>
              <w:pStyle w:val="Compact"/>
              <w:jc w:val="right"/>
            </w:pPr>
            <w:r>
              <w:t xml:space="preserve">698</w:t>
            </w:r>
            <w:r>
              <w:t xml:space="preserve">,</w:t>
            </w:r>
            <w:r>
              <w:t xml:space="preserve">4</w:t>
            </w:r>
          </w:p>
        </w:tc>
        <w:tc>
          <w:tcPr/>
          <w:p>
            <w:pPr>
              <w:pStyle w:val="Compact"/>
              <w:jc w:val="right"/>
            </w:pPr>
            <w:r>
              <w:t xml:space="preserve">10</w:t>
            </w:r>
            <w:r>
              <w:t xml:space="preserve">,</w:t>
            </w:r>
            <w:r>
              <w:t xml:space="preserve">3</w:t>
            </w:r>
          </w:p>
        </w:tc>
        <w:tc>
          <w:tcPr/>
          <w:p>
            <w:pPr>
              <w:pStyle w:val="Compact"/>
              <w:jc w:val="right"/>
            </w:pPr>
            <w:r>
              <w:t xml:space="preserve">79</w:t>
            </w:r>
            <w:r>
              <w:t xml:space="preserve">,</w:t>
            </w:r>
            <w:r>
              <w:t xml:space="preserve">0</w:t>
            </w:r>
          </w:p>
        </w:tc>
        <w:tc>
          <w:tcPr/>
          <w:p>
            <w:pPr>
              <w:pStyle w:val="Compact"/>
              <w:jc w:val="right"/>
            </w:pPr>
            <w:r>
              <w:t xml:space="preserve">198</w:t>
            </w:r>
            <w:r>
              <w:t xml:space="preserve">,</w:t>
            </w:r>
            <w:r>
              <w:t xml:space="preserve">2</w:t>
            </w:r>
          </w:p>
        </w:tc>
        <w:tc>
          <w:tcPr/>
          <w:p>
            <w:pPr>
              <w:pStyle w:val="Compact"/>
              <w:jc w:val="right"/>
            </w:pPr>
            <w:r>
              <w:t xml:space="preserve">3</w:t>
            </w:r>
            <w:r>
              <w:t xml:space="preserve">,</w:t>
            </w:r>
            <w:r>
              <w:t xml:space="preserve">9</w:t>
            </w:r>
          </w:p>
        </w:tc>
        <w:tc>
          <w:tcPr/>
          <w:p>
            <w:pPr>
              <w:pStyle w:val="Compact"/>
              <w:jc w:val="right"/>
            </w:pPr>
            <w:r>
              <w:t xml:space="preserve">835</w:t>
            </w:r>
            <w:r>
              <w:t xml:space="preserve">,</w:t>
            </w:r>
            <w:r>
              <w:t xml:space="preserve">3</w:t>
            </w:r>
          </w:p>
        </w:tc>
        <w:tc>
          <w:tcPr/>
          <w:p>
            <w:pPr>
              <w:pStyle w:val="Compact"/>
              <w:jc w:val="right"/>
            </w:pPr>
            <w:r>
              <w:t xml:space="preserve">1.331</w:t>
            </w:r>
            <w:r>
              <w:t xml:space="preserve">,</w:t>
            </w:r>
            <w:r>
              <w:t xml:space="preserve">9</w:t>
            </w:r>
          </w:p>
        </w:tc>
        <w:tc>
          <w:tcPr/>
          <w:p>
            <w:pPr>
              <w:pStyle w:val="Compact"/>
              <w:jc w:val="right"/>
            </w:pPr>
            <w:r>
              <w:t xml:space="preserve">60</w:t>
            </w:r>
            <w:r>
              <w:t xml:space="preserve">,</w:t>
            </w:r>
            <w:r>
              <w:t xml:space="preserve">5</w:t>
            </w:r>
          </w:p>
        </w:tc>
        <w:tc>
          <w:tcPr/>
          <w:p>
            <w:pPr>
              <w:pStyle w:val="Compact"/>
            </w:pPr>
          </w:p>
        </w:tc>
      </w:tr>
      <w:tr>
        <w:tc>
          <w:tcPr/>
          <w:p>
            <w:pPr>
              <w:pStyle w:val="Compact"/>
              <w:jc w:val="left"/>
            </w:pPr>
            <w:r>
              <w:t xml:space="preserve">Post-pandemia (2022–2025)</w:t>
            </w:r>
          </w:p>
        </w:tc>
        <w:tc>
          <w:tcPr/>
          <w:p>
            <w:pPr>
              <w:pStyle w:val="Compact"/>
              <w:jc w:val="center"/>
            </w:pPr>
            <w:r>
              <w:t xml:space="preserve">48</w:t>
            </w:r>
          </w:p>
        </w:tc>
        <w:tc>
          <w:tcPr/>
          <w:p>
            <w:pPr>
              <w:pStyle w:val="Compact"/>
              <w:jc w:val="right"/>
            </w:pPr>
            <w:r>
              <w:t xml:space="preserve">366</w:t>
            </w:r>
            <w:r>
              <w:t xml:space="preserve">,</w:t>
            </w:r>
            <w:r>
              <w:t xml:space="preserve">6</w:t>
            </w:r>
          </w:p>
        </w:tc>
        <w:tc>
          <w:tcPr/>
          <w:p>
            <w:pPr>
              <w:pStyle w:val="Compact"/>
              <w:jc w:val="right"/>
            </w:pPr>
            <w:r>
              <w:t xml:space="preserve">939</w:t>
            </w:r>
            <w:r>
              <w:t xml:space="preserve">,</w:t>
            </w:r>
            <w:r>
              <w:t xml:space="preserve">1</w:t>
            </w:r>
          </w:p>
        </w:tc>
        <w:tc>
          <w:tcPr/>
          <w:p>
            <w:pPr>
              <w:pStyle w:val="Compact"/>
              <w:jc w:val="right"/>
            </w:pPr>
            <w:r>
              <w:t xml:space="preserve">16</w:t>
            </w:r>
            <w:r>
              <w:t xml:space="preserve">,</w:t>
            </w:r>
            <w:r>
              <w:t xml:space="preserve">3</w:t>
            </w:r>
          </w:p>
        </w:tc>
        <w:tc>
          <w:tcPr/>
          <w:p>
            <w:pPr>
              <w:pStyle w:val="Compact"/>
              <w:jc w:val="right"/>
            </w:pPr>
            <w:r>
              <w:t xml:space="preserve">166</w:t>
            </w:r>
            <w:r>
              <w:t xml:space="preserve">,</w:t>
            </w:r>
            <w:r>
              <w:t xml:space="preserve">2</w:t>
            </w:r>
          </w:p>
        </w:tc>
        <w:tc>
          <w:tcPr/>
          <w:p>
            <w:pPr>
              <w:pStyle w:val="Compact"/>
              <w:jc w:val="right"/>
            </w:pPr>
            <w:r>
              <w:t xml:space="preserve">484</w:t>
            </w:r>
            <w:r>
              <w:t xml:space="preserve">,</w:t>
            </w:r>
            <w:r>
              <w:t xml:space="preserve">4</w:t>
            </w:r>
          </w:p>
        </w:tc>
        <w:tc>
          <w:tcPr/>
          <w:p>
            <w:pPr>
              <w:pStyle w:val="Compact"/>
              <w:jc w:val="right"/>
            </w:pPr>
            <w:r>
              <w:t xml:space="preserve">5</w:t>
            </w:r>
            <w:r>
              <w:t xml:space="preserve">,</w:t>
            </w:r>
            <w:r>
              <w:t xml:space="preserve">8</w:t>
            </w:r>
          </w:p>
        </w:tc>
        <w:tc>
          <w:tcPr/>
          <w:p>
            <w:pPr>
              <w:pStyle w:val="Compact"/>
              <w:jc w:val="right"/>
            </w:pPr>
            <w:r>
              <w:t xml:space="preserve">1.275</w:t>
            </w:r>
            <w:r>
              <w:t xml:space="preserve">,</w:t>
            </w:r>
            <w:r>
              <w:t xml:space="preserve">8</w:t>
            </w:r>
          </w:p>
        </w:tc>
        <w:tc>
          <w:tcPr/>
          <w:p>
            <w:pPr>
              <w:pStyle w:val="Compact"/>
              <w:jc w:val="right"/>
            </w:pPr>
            <w:r>
              <w:t xml:space="preserve">1.918</w:t>
            </w:r>
            <w:r>
              <w:t xml:space="preserve">,</w:t>
            </w:r>
            <w:r>
              <w:t xml:space="preserve">5</w:t>
            </w:r>
          </w:p>
        </w:tc>
        <w:tc>
          <w:tcPr/>
          <w:p>
            <w:pPr>
              <w:pStyle w:val="Compact"/>
              <w:jc w:val="right"/>
            </w:pPr>
            <w:r>
              <w:t xml:space="preserve">90</w:t>
            </w:r>
            <w:r>
              <w:t xml:space="preserve">,</w:t>
            </w:r>
            <w:r>
              <w:t xml:space="preserve">9</w:t>
            </w:r>
          </w:p>
        </w:tc>
        <w:tc>
          <w:tcPr/>
          <w:p>
            <w:pPr>
              <w:pStyle w:val="Compact"/>
            </w:pPr>
          </w:p>
        </w:tc>
      </w:tr>
    </w:tbl>
    <w:bookmarkEnd w:id="35"/>
    <w:p>
      <w:pPr>
        <w:pStyle w:val="BodyText"/>
      </w:pPr>
      <w:r>
        <w:rPr>
          <w:i/>
          <w:iCs/>
        </w:rPr>
        <w:t xml:space="preserve">Nota:</w:t>
      </w:r>
      <w:r>
        <w:t xml:space="preserve"> </w:t>
      </w:r>
      <w:r>
        <w:t xml:space="preserve">Panel de 16 regiones</w:t>
      </w:r>
      <w:r>
        <w:t xml:space="preserve"> </w:t>
      </w:r>
      <m:oMath>
        <m:r>
          <m:rPr>
            <m:sty m:val="p"/>
          </m:rPr>
          <m:t>×</m:t>
        </m:r>
      </m:oMath>
      <w:r>
        <w:t xml:space="preserve"> </w:t>
      </w:r>
      <w:r>
        <w:t xml:space="preserve">N meses. Media y DE calculadas sobre observaciones</w:t>
      </w:r>
      <w:r>
        <w:t xml:space="preserve"> </w:t>
      </w:r>
      <w:r>
        <w:t xml:space="preserve">región-mes. Tasa = promedio de la tasa mensual por 100.000 habitantes a nivel regional.</w:t>
      </w:r>
      <w:r>
        <w:t xml:space="preserve"> </w:t>
      </w:r>
      <w:r>
        <w:t xml:space="preserve">Fuente:</w:t>
      </w:r>
      <w:r>
        <w:t xml:space="preserve"> </w:t>
      </w:r>
      <w:r>
        <w:t xml:space="preserve">Instituto Nacional de Estadísticas (2026)</w:t>
      </w:r>
      <w:r>
        <w:t xml:space="preserve">; SERMIG; proyecciones INE Base 2017.</w:t>
      </w:r>
    </w:p>
    <w:p>
      <w:pPr>
        <w:pStyle w:val="BodyText"/>
      </w:pPr>
      <w:r>
        <w:t xml:space="preserve">Desagregando los datos empíricos (Tabla </w:t>
      </w:r>
      <w:hyperlink w:anchor="tab:cum">
        <w:r>
          <w:rPr>
            <w:rStyle w:val="Hyperlink"/>
          </w:rPr>
          <w:t xml:space="preserve">3</w:t>
        </w:r>
      </w:hyperlink>
      <w:r>
        <w:t xml:space="preserve">), los dos delitos que dominan los robos</w:t>
      </w:r>
      <w:r>
        <w:t xml:space="preserve"> </w:t>
      </w:r>
      <w:r>
        <w:t xml:space="preserve">violentos—el robo con intimidación (64</w:t>
      </w:r>
      <w:r>
        <w:t xml:space="preserve">,</w:t>
      </w:r>
      <w:r>
        <w:t xml:space="preserve">3% del grupo) y el robo con</w:t>
      </w:r>
      <w:r>
        <w:t xml:space="preserve"> </w:t>
      </w:r>
      <w:r>
        <w:t xml:space="preserve">violencia (28</w:t>
      </w:r>
      <w:r>
        <w:t xml:space="preserve">,</w:t>
      </w:r>
      <w:r>
        <w:t xml:space="preserve">7%)—registran tasas post-pandemia</w:t>
      </w:r>
      <w:r>
        <w:t xml:space="preserve"> </w:t>
      </w:r>
      <m:oMath>
        <m:r>
          <m:rPr>
            <m:sty m:val="p"/>
          </m:rPr>
          <m:t>−</m:t>
        </m:r>
        <m:r>
          <m:t>22</m:t>
        </m:r>
        <m:r>
          <m:rPr>
            <m:sty m:val="p"/>
          </m:rPr>
          <m:t>,</m:t>
        </m:r>
        <m:r>
          <m:t>9</m:t>
        </m:r>
        <m:r>
          <m:rPr>
            <m:sty m:val="p"/>
          </m:rPr>
          <m:t>%</m:t>
        </m:r>
      </m:oMath>
      <w:r>
        <w:t xml:space="preserve"> </w:t>
      </w:r>
      <w:r>
        <w:t xml:space="preserve">y</w:t>
      </w:r>
      <w:r>
        <w:t xml:space="preserve"> </w:t>
      </w:r>
      <m:oMath>
        <m:r>
          <m:rPr>
            <m:sty m:val="p"/>
          </m:rPr>
          <m:t>−</m:t>
        </m:r>
        <m:r>
          <m:t>8</m:t>
        </m:r>
        <m:r>
          <m:rPr>
            <m:sty m:val="p"/>
          </m:rPr>
          <m:t>,</m:t>
        </m:r>
        <m:r>
          <m:t>3</m:t>
        </m:r>
        <m:r>
          <m:rPr>
            <m:sty m:val="p"/>
          </m:rPr>
          <m:t>%</m:t>
        </m:r>
      </m:oMath>
      <w:r>
        <w:t xml:space="preserve"> </w:t>
      </w:r>
      <w:r>
        <w:t xml:space="preserve">por debajo del</w:t>
      </w:r>
      <w:r>
        <w:t xml:space="preserve"> </w:t>
      </w:r>
      <w:r>
        <w:t xml:space="preserve">período de línea base, respectivamente. En conjunto representan el 93% del grupo</w:t>
      </w:r>
      <w:r>
        <w:t xml:space="preserve"> </w:t>
      </w:r>
      <w:r>
        <w:t xml:space="preserve">y su tendencia a la baja es el elemento más robusto del análisis descriptivo. El</w:t>
      </w:r>
      <w:r>
        <w:t xml:space="preserve"> </w:t>
      </w:r>
      <w:r>
        <w:t xml:space="preserve">robo de vehículo con violencia o intimidación (CUM 867) aparece en el sistema con</w:t>
      </w:r>
      <w:r>
        <w:t xml:space="preserve"> </w:t>
      </w:r>
      <w:r>
        <w:t xml:space="preserve">volumen sustancial solo desde 2020, representando el 6</w:t>
      </w:r>
      <w:r>
        <w:t xml:space="preserve">,</w:t>
      </w:r>
      <w:r>
        <w:t xml:space="preserve">6% del grupo en el período</w:t>
      </w:r>
      <w:r>
        <w:t xml:space="preserve"> </w:t>
      </w:r>
      <w:r>
        <w:t xml:space="preserve">completo; por tanto, su comparativa toma el período 2018–2020 como línea base</w:t>
      </w:r>
      <w:r>
        <w:t xml:space="preserve"> </w:t>
      </w:r>
      <w:r>
        <w:t xml:space="preserve">referencial. El único delito con crecimiento real sostenido dentro del grupo es el</w:t>
      </w:r>
      <w:r>
        <w:t xml:space="preserve"> </w:t>
      </w:r>
      <w:r>
        <w:t xml:space="preserve">robo con retención de víctimas o lesiones graves (CUM 862), con un incremento de</w:t>
      </w:r>
      <w:r>
        <w:t xml:space="preserve"> </w:t>
      </w:r>
      <w:r>
        <w:t xml:space="preserve">263% entre períodos—pero desde una base muy reducida (menos del 0</w:t>
      </w:r>
      <w:r>
        <w:t xml:space="preserve">,</w:t>
      </w:r>
      <w:r>
        <w:t xml:space="preserve">1% del grupo):</w:t>
      </w:r>
      <w:r>
        <w:t xml:space="preserve"> </w:t>
      </w:r>
      <w:r>
        <w:t xml:space="preserve">83 casos en 2022 frente a 283 en 2025. En los robos no violentos, la caída es</w:t>
      </w:r>
      <w:r>
        <w:t xml:space="preserve"> </w:t>
      </w:r>
      <w:r>
        <w:t xml:space="preserve">generalizada: la más pronunciada corresponde al robo en lugar habitado (</w:t>
      </w:r>
      <m:oMath>
        <m:r>
          <m:rPr>
            <m:sty m:val="p"/>
          </m:rPr>
          <m:t>−</m:t>
        </m:r>
        <m:r>
          <m:t>35</m:t>
        </m:r>
        <m:r>
          <m:rPr>
            <m:sty m:val="p"/>
          </m:rPr>
          <m:t>,</m:t>
        </m:r>
        <m:r>
          <m:t>0</m:t>
        </m:r>
        <m:r>
          <m:rPr>
            <m:sty m:val="p"/>
          </m:rPr>
          <m:t>%</m:t>
        </m:r>
      </m:oMath>
      <w:r>
        <w:t xml:space="preserve">)</w:t>
      </w:r>
      <w:r>
        <w:t xml:space="preserve"> </w:t>
      </w:r>
      <w:r>
        <w:t xml:space="preserve">y al hurto de 0</w:t>
      </w:r>
      <w:r>
        <w:t xml:space="preserve">,</w:t>
      </w:r>
      <w:r>
        <w:t xml:space="preserve">5 a 4 UTM (</w:t>
      </w:r>
      <m:oMath>
        <m:r>
          <m:rPr>
            <m:sty m:val="p"/>
          </m:rPr>
          <m:t>−</m:t>
        </m:r>
        <m:r>
          <m:t>25</m:t>
        </m:r>
        <m:r>
          <m:rPr>
            <m:sty m:val="p"/>
          </m:rPr>
          <m:t>,</m:t>
        </m:r>
        <m:r>
          <m:t>7</m:t>
        </m:r>
        <m:r>
          <m:rPr>
            <m:sty m:val="p"/>
          </m:rPr>
          <m:t>%</m:t>
        </m:r>
      </m:oMath>
      <w:r>
        <w:t xml:space="preserve">).</w:t>
      </w:r>
    </w:p>
    <w:p>
      <w:pPr>
        <w:pStyle w:val="BodyText"/>
      </w:pPr>
      <w:r>
        <w:t xml:space="preserve">max width=</w:t>
      </w:r>
    </w:p>
    <w:bookmarkStart w:id="36" w:name="tab:cum"/>
    <w:p>
      <w:pPr>
        <w:pStyle w:val="TableCaption"/>
      </w:pPr>
      <w:r>
        <w:t xml:space="preserve">Composición intra-categoría: CUMs principales de la clasificación C3 (2013–2025)</w:t>
      </w:r>
    </w:p>
    <w:tbl>
      <w:tblPr>
        <w:tblStyle w:val="Table"/>
        <w:tblW w:type="auto" w:w="0"/>
        <w:tblLook w:firstRow="1" w:lastRow="0" w:firstColumn="0" w:lastColumn="0" w:noHBand="0" w:noVBand="0" w:val="0020"/>
        <w:tblCaption w:val="Composición intra-categoría: CUMs principales de la clasificación C3 (2013–2025)"/>
      </w:tblPr>
      <w:tblGrid>
        <w:gridCol w:w="1131"/>
        <w:gridCol w:w="1131"/>
        <w:gridCol w:w="1131"/>
        <w:gridCol w:w="1131"/>
        <w:gridCol w:w="1131"/>
        <w:gridCol w:w="1131"/>
        <w:gridCol w:w="1131"/>
      </w:tblGrid>
      <w:tr>
        <w:trPr>
          <w:tblHeader w:val="on"/>
        </w:trPr>
        <w:tc>
          <w:tcPr/>
          <w:p>
            <w:pPr>
              <w:pStyle w:val="Compact"/>
              <w:jc w:val="left"/>
            </w:pPr>
            <w:r>
              <w:rPr>
                <w:b/>
                <w:bCs/>
              </w:rPr>
              <w:t xml:space="preserve">Cat.</w:t>
            </w:r>
          </w:p>
        </w:tc>
        <w:tc>
          <w:tcPr/>
          <w:p>
            <w:pPr>
              <w:pStyle w:val="Compact"/>
              <w:jc w:val="right"/>
            </w:pPr>
            <w:r>
              <w:rPr>
                <w:b/>
                <w:bCs/>
              </w:rPr>
              <w:t xml:space="preserve">CUM</w:t>
            </w:r>
          </w:p>
        </w:tc>
        <w:tc>
          <w:tcPr/>
          <w:p>
            <w:pPr>
              <w:pStyle w:val="Compact"/>
              <w:jc w:val="left"/>
            </w:pPr>
            <w:r>
              <w:rPr>
                <w:b/>
                <w:bCs/>
              </w:rPr>
              <w:t xml:space="preserve">Glosa</w:t>
            </w:r>
          </w:p>
        </w:tc>
        <w:tc>
          <w:tcPr/>
          <w:p>
            <w:pPr>
              <w:pStyle w:val="Compact"/>
              <w:jc w:val="right"/>
            </w:pPr>
            <w:r>
              <w:rPr>
                <w:b/>
                <w:bCs/>
              </w:rPr>
              <w:t xml:space="preserve">N total</w:t>
            </w:r>
          </w:p>
        </w:tc>
        <w:tc>
          <w:tcPr/>
          <w:p>
            <w:pPr>
              <w:pStyle w:val="Compact"/>
              <w:jc w:val="right"/>
            </w:pPr>
            <w:r>
              <w:rPr>
                <w:b/>
                <w:bCs/>
              </w:rPr>
              <w:t xml:space="preserve">% grupo</w:t>
            </w:r>
          </w:p>
        </w:tc>
        <w:tc>
          <w:tcPr/>
          <w:p>
            <w:pPr>
              <w:pStyle w:val="Compact"/>
              <w:jc w:val="right"/>
            </w:pPr>
            <w:r>
              <w:rPr>
                <w:b/>
                <w:bCs/>
              </w:rPr>
              <w:t xml:space="preserve">Tasa base</w:t>
            </w:r>
            <w:r>
              <w:rPr>
                <w:b/>
                <w:bCs/>
                <w:vertAlign w:val="superscript"/>
              </w:rPr>
              <w:t xml:space="preserve">a</w:t>
            </w:r>
          </w:p>
        </w:tc>
        <w:tc>
          <w:tcPr/>
          <w:p>
            <w:pPr>
              <w:pStyle w:val="Compact"/>
              <w:jc w:val="right"/>
            </w:pPr>
            <m:oMath>
              <m:r>
                <m:rPr>
                  <m:sty m:val="p"/>
                </m:rPr>
                <m:t>Δ</m:t>
              </m:r>
            </m:oMath>
            <w:r>
              <w:rPr>
                <w:b/>
                <w:bCs/>
              </w:rPr>
              <w:t xml:space="preserve">%</w:t>
            </w:r>
            <w:r>
              <w:rPr>
                <w:b/>
                <w:bCs/>
                <w:vertAlign w:val="superscript"/>
              </w:rPr>
              <w:t xml:space="preserve">b</w:t>
            </w:r>
          </w:p>
        </w:tc>
      </w:tr>
      <w:tr>
        <w:tc>
          <w:tcPr>
            <w:gridSpan w:val="7"/>
          </w:tcPr>
          <w:p>
            <w:pPr>
              <w:pStyle w:val="Compact"/>
              <w:jc w:val="left"/>
            </w:pPr>
            <w:r>
              <w:rPr>
                <w:i/>
                <w:iCs/>
              </w:rPr>
              <w:t xml:space="preserve">Robos violentos</w:t>
            </w:r>
          </w:p>
        </w:tc>
      </w:tr>
      <w:tr>
        <w:tc>
          <w:tcPr/>
          <w:p>
            <w:pPr>
              <w:pStyle w:val="Compact"/>
            </w:pPr>
          </w:p>
        </w:tc>
        <w:tc>
          <w:tcPr/>
          <w:p>
            <w:pPr>
              <w:pStyle w:val="Compact"/>
              <w:jc w:val="right"/>
            </w:pPr>
            <w:r>
              <w:t xml:space="preserve">802</w:t>
            </w:r>
          </w:p>
        </w:tc>
        <w:tc>
          <w:tcPr/>
          <w:p>
            <w:pPr>
              <w:pStyle w:val="Compact"/>
              <w:jc w:val="left"/>
            </w:pPr>
            <w:r>
              <w:t xml:space="preserve">Robo con intimidación</w:t>
            </w:r>
          </w:p>
        </w:tc>
        <w:tc>
          <w:tcPr/>
          <w:p>
            <w:pPr>
              <w:pStyle w:val="Compact"/>
              <w:jc w:val="right"/>
            </w:pPr>
            <w:r>
              <w:t xml:space="preserve">519.171</w:t>
            </w:r>
          </w:p>
        </w:tc>
        <w:tc>
          <w:tcPr/>
          <w:p>
            <w:pPr>
              <w:pStyle w:val="Compact"/>
              <w:jc w:val="right"/>
            </w:pPr>
            <w:r>
              <w:t xml:space="preserve">64</w:t>
            </w:r>
            <w:r>
              <w:t xml:space="preserve">,</w:t>
            </w:r>
            <w:r>
              <w:t xml:space="preserve">3</w:t>
            </w:r>
          </w:p>
        </w:tc>
        <w:tc>
          <w:tcPr/>
          <w:p>
            <w:pPr>
              <w:pStyle w:val="Compact"/>
              <w:jc w:val="right"/>
            </w:pPr>
            <w:r>
              <w:t xml:space="preserve">238</w:t>
            </w:r>
            <w:r>
              <w:t xml:space="preserve">,</w:t>
            </w:r>
            <w:r>
              <w:t xml:space="preserve">5</w:t>
            </w:r>
          </w:p>
        </w:tc>
        <w:tc>
          <w:tcPr/>
          <w:p>
            <w:pPr>
              <w:pStyle w:val="Compact"/>
              <w:jc w:val="right"/>
            </w:pPr>
            <m:oMath>
              <m:r>
                <m:rPr>
                  <m:sty m:val="p"/>
                </m:rPr>
                <m:t>−</m:t>
              </m:r>
            </m:oMath>
            <w:r>
              <w:t xml:space="preserve">22</w:t>
            </w:r>
            <w:r>
              <w:t xml:space="preserve">,</w:t>
            </w:r>
            <w:r>
              <w:t xml:space="preserve">9</w:t>
            </w:r>
          </w:p>
        </w:tc>
      </w:tr>
      <w:tr>
        <w:tc>
          <w:tcPr/>
          <w:p>
            <w:pPr>
              <w:pStyle w:val="Compact"/>
            </w:pPr>
          </w:p>
        </w:tc>
        <w:tc>
          <w:tcPr/>
          <w:p>
            <w:pPr>
              <w:pStyle w:val="Compact"/>
              <w:jc w:val="right"/>
            </w:pPr>
            <w:r>
              <w:t xml:space="preserve">803</w:t>
            </w:r>
          </w:p>
        </w:tc>
        <w:tc>
          <w:tcPr/>
          <w:p>
            <w:pPr>
              <w:pStyle w:val="Compact"/>
              <w:jc w:val="left"/>
            </w:pPr>
            <w:r>
              <w:t xml:space="preserve">Robo con violencia</w:t>
            </w:r>
          </w:p>
        </w:tc>
        <w:tc>
          <w:tcPr/>
          <w:p>
            <w:pPr>
              <w:pStyle w:val="Compact"/>
              <w:jc w:val="right"/>
            </w:pPr>
            <w:r>
              <w:t xml:space="preserve">232.073</w:t>
            </w:r>
          </w:p>
        </w:tc>
        <w:tc>
          <w:tcPr/>
          <w:p>
            <w:pPr>
              <w:pStyle w:val="Compact"/>
              <w:jc w:val="right"/>
            </w:pPr>
            <w:r>
              <w:t xml:space="preserve">28</w:t>
            </w:r>
            <w:r>
              <w:t xml:space="preserve">,</w:t>
            </w:r>
            <w:r>
              <w:t xml:space="preserve">7</w:t>
            </w:r>
          </w:p>
        </w:tc>
        <w:tc>
          <w:tcPr/>
          <w:p>
            <w:pPr>
              <w:pStyle w:val="Compact"/>
              <w:jc w:val="right"/>
            </w:pPr>
            <w:r>
              <w:t xml:space="preserve">97</w:t>
            </w:r>
            <w:r>
              <w:t xml:space="preserve">,</w:t>
            </w:r>
            <w:r>
              <w:t xml:space="preserve">7</w:t>
            </w:r>
          </w:p>
        </w:tc>
        <w:tc>
          <w:tcPr/>
          <w:p>
            <w:pPr>
              <w:pStyle w:val="Compact"/>
              <w:jc w:val="right"/>
            </w:pPr>
            <m:oMath>
              <m:r>
                <m:rPr>
                  <m:sty m:val="p"/>
                </m:rPr>
                <m:t>−</m:t>
              </m:r>
            </m:oMath>
            <w:r>
              <w:t xml:space="preserve">8</w:t>
            </w:r>
            <w:r>
              <w:t xml:space="preserve">,</w:t>
            </w:r>
            <w:r>
              <w:t xml:space="preserve">3</w:t>
            </w:r>
          </w:p>
        </w:tc>
      </w:tr>
      <w:tr>
        <w:tc>
          <w:tcPr/>
          <w:p>
            <w:pPr>
              <w:pStyle w:val="Compact"/>
            </w:pPr>
          </w:p>
        </w:tc>
        <w:tc>
          <w:tcPr/>
          <w:p>
            <w:pPr>
              <w:pStyle w:val="Compact"/>
              <w:jc w:val="right"/>
            </w:pPr>
            <w:r>
              <w:t xml:space="preserve">867</w:t>
            </w:r>
          </w:p>
        </w:tc>
        <w:tc>
          <w:tcPr/>
          <w:p>
            <w:pPr>
              <w:pStyle w:val="Compact"/>
              <w:jc w:val="left"/>
            </w:pPr>
            <w:r>
              <w:t xml:space="preserve">Robo de vehículo con violencia o intimidación</w:t>
            </w:r>
            <w:r>
              <w:rPr>
                <w:vertAlign w:val="superscript"/>
              </w:rPr>
              <w:t xml:space="preserve">c</w:t>
            </w:r>
          </w:p>
        </w:tc>
        <w:tc>
          <w:tcPr/>
          <w:p>
            <w:pPr>
              <w:pStyle w:val="Compact"/>
              <w:jc w:val="right"/>
            </w:pPr>
            <w:r>
              <w:t xml:space="preserve">53.130</w:t>
            </w:r>
          </w:p>
        </w:tc>
        <w:tc>
          <w:tcPr/>
          <w:p>
            <w:pPr>
              <w:pStyle w:val="Compact"/>
              <w:jc w:val="right"/>
            </w:pPr>
            <w:r>
              <w:t xml:space="preserve">6</w:t>
            </w:r>
            <w:r>
              <w:t xml:space="preserve">,</w:t>
            </w:r>
            <w:r>
              <w:t xml:space="preserve">6</w:t>
            </w:r>
          </w:p>
        </w:tc>
        <w:tc>
          <w:tcPr/>
          <w:p>
            <w:pPr>
              <w:pStyle w:val="Compact"/>
              <w:jc w:val="right"/>
            </w:pPr>
            <w:r>
              <w:t xml:space="preserve">10</w:t>
            </w:r>
            <w:r>
              <w:t xml:space="preserve">,</w:t>
            </w:r>
            <w:r>
              <w:t xml:space="preserve">5</w:t>
            </w:r>
            <w:r>
              <w:rPr>
                <w:vertAlign w:val="superscript"/>
              </w:rPr>
              <w:t xml:space="preserve">d</w:t>
            </w:r>
          </w:p>
        </w:tc>
        <w:tc>
          <w:tcPr/>
          <w:p>
            <w:pPr>
              <w:pStyle w:val="Compact"/>
              <w:jc w:val="right"/>
            </w:pPr>
            <m:oMath>
              <m:r>
                <m:rPr>
                  <m:sty m:val="p"/>
                </m:rPr>
                <m:t>+</m:t>
              </m:r>
            </m:oMath>
            <w:r>
              <w:t xml:space="preserve">389</w:t>
            </w:r>
          </w:p>
        </w:tc>
      </w:tr>
      <w:tr>
        <w:tc>
          <w:tcPr/>
          <w:p>
            <w:pPr>
              <w:pStyle w:val="Compact"/>
            </w:pPr>
          </w:p>
        </w:tc>
        <w:tc>
          <w:tcPr/>
          <w:p>
            <w:pPr>
              <w:pStyle w:val="Compact"/>
              <w:jc w:val="right"/>
            </w:pPr>
            <w:r>
              <w:t xml:space="preserve">828</w:t>
            </w:r>
          </w:p>
        </w:tc>
        <w:tc>
          <w:tcPr/>
          <w:p>
            <w:pPr>
              <w:pStyle w:val="Compact"/>
              <w:jc w:val="left"/>
            </w:pPr>
            <w:r>
              <w:t xml:space="preserve">Robo con violación</w:t>
            </w:r>
          </w:p>
        </w:tc>
        <w:tc>
          <w:tcPr/>
          <w:p>
            <w:pPr>
              <w:pStyle w:val="Compact"/>
              <w:jc w:val="right"/>
            </w:pPr>
            <w:r>
              <w:t xml:space="preserve">1</w:t>
            </w:r>
            <w:r>
              <w:t xml:space="preserve">,</w:t>
            </w:r>
            <w:r>
              <w:t xml:space="preserve">470</w:t>
            </w:r>
          </w:p>
        </w:tc>
        <w:tc>
          <w:tcPr/>
          <w:p>
            <w:pPr>
              <w:pStyle w:val="Compact"/>
              <w:jc w:val="right"/>
            </w:pPr>
            <w:r>
              <w:t xml:space="preserve">0</w:t>
            </w:r>
            <w:r>
              <w:t xml:space="preserve">,</w:t>
            </w:r>
            <w:r>
              <w:t xml:space="preserve">2</w:t>
            </w:r>
          </w:p>
        </w:tc>
        <w:tc>
          <w:tcPr/>
          <w:p>
            <w:pPr>
              <w:pStyle w:val="Compact"/>
              <w:jc w:val="right"/>
            </w:pPr>
            <w:r>
              <w:t xml:space="preserve">0</w:t>
            </w:r>
            <w:r>
              <w:t xml:space="preserve">,</w:t>
            </w:r>
            <w:r>
              <w:t xml:space="preserve">66</w:t>
            </w:r>
          </w:p>
        </w:tc>
        <w:tc>
          <w:tcPr/>
          <w:p>
            <w:pPr>
              <w:pStyle w:val="Compact"/>
              <w:jc w:val="right"/>
            </w:pPr>
            <m:oMath>
              <m:r>
                <m:rPr>
                  <m:sty m:val="p"/>
                </m:rPr>
                <m:t>−</m:t>
              </m:r>
            </m:oMath>
            <w:r>
              <w:t xml:space="preserve">14</w:t>
            </w:r>
            <w:r>
              <w:t xml:space="preserve">,</w:t>
            </w:r>
            <w:r>
              <w:t xml:space="preserve">1</w:t>
            </w:r>
          </w:p>
        </w:tc>
      </w:tr>
      <w:tr>
        <w:tc>
          <w:tcPr/>
          <w:p>
            <w:pPr>
              <w:pStyle w:val="Compact"/>
            </w:pPr>
          </w:p>
        </w:tc>
        <w:tc>
          <w:tcPr/>
          <w:p>
            <w:pPr>
              <w:pStyle w:val="Compact"/>
              <w:jc w:val="right"/>
            </w:pPr>
            <w:r>
              <w:t xml:space="preserve">862</w:t>
            </w:r>
          </w:p>
        </w:tc>
        <w:tc>
          <w:tcPr/>
          <w:p>
            <w:pPr>
              <w:pStyle w:val="Compact"/>
              <w:jc w:val="left"/>
            </w:pPr>
            <w:r>
              <w:t xml:space="preserve">Robo con retención de víctimas o lesiones graves</w:t>
            </w:r>
          </w:p>
        </w:tc>
        <w:tc>
          <w:tcPr/>
          <w:p>
            <w:pPr>
              <w:pStyle w:val="Compact"/>
              <w:jc w:val="right"/>
            </w:pPr>
            <w:r>
              <w:t xml:space="preserve">992</w:t>
            </w:r>
          </w:p>
        </w:tc>
        <w:tc>
          <w:tcPr/>
          <w:p>
            <w:pPr>
              <w:pStyle w:val="Compact"/>
              <w:jc w:val="right"/>
            </w:pPr>
            <w:r>
              <w:t xml:space="preserve">0</w:t>
            </w:r>
            <w:r>
              <w:t xml:space="preserve">,</w:t>
            </w:r>
            <w:r>
              <w:t xml:space="preserve">1</w:t>
            </w:r>
          </w:p>
        </w:tc>
        <w:tc>
          <w:tcPr/>
          <w:p>
            <w:pPr>
              <w:pStyle w:val="Compact"/>
              <w:jc w:val="right"/>
            </w:pPr>
            <w:r>
              <w:t xml:space="preserve">0</w:t>
            </w:r>
            <w:r>
              <w:t xml:space="preserve">,</w:t>
            </w:r>
            <w:r>
              <w:t xml:space="preserve">24</w:t>
            </w:r>
          </w:p>
        </w:tc>
        <w:tc>
          <w:tcPr/>
          <w:p>
            <w:pPr>
              <w:pStyle w:val="Compact"/>
              <w:jc w:val="right"/>
            </w:pPr>
            <m:oMath>
              <m:r>
                <m:rPr>
                  <m:sty m:val="p"/>
                </m:rPr>
                <m:t>+</m:t>
              </m:r>
            </m:oMath>
            <w:r>
              <w:t xml:space="preserve">263</w:t>
            </w:r>
          </w:p>
        </w:tc>
      </w:tr>
      <w:tr>
        <w:tc>
          <w:tcPr/>
          <w:p>
            <w:pPr>
              <w:pStyle w:val="Compact"/>
            </w:pPr>
          </w:p>
        </w:tc>
        <w:tc>
          <w:tcPr/>
          <w:p>
            <w:pPr>
              <w:pStyle w:val="Compact"/>
              <w:jc w:val="right"/>
            </w:pPr>
            <w:r>
              <w:t xml:space="preserve">827</w:t>
            </w:r>
          </w:p>
        </w:tc>
        <w:tc>
          <w:tcPr/>
          <w:p>
            <w:pPr>
              <w:pStyle w:val="Compact"/>
              <w:jc w:val="left"/>
            </w:pPr>
            <w:r>
              <w:t xml:space="preserve">Robo con homicidio</w:t>
            </w:r>
          </w:p>
        </w:tc>
        <w:tc>
          <w:tcPr/>
          <w:p>
            <w:pPr>
              <w:pStyle w:val="Compact"/>
              <w:jc w:val="right"/>
            </w:pPr>
            <w:r>
              <w:t xml:space="preserve">320</w:t>
            </w:r>
          </w:p>
        </w:tc>
        <w:tc>
          <w:tcPr/>
          <w:p>
            <w:pPr>
              <w:pStyle w:val="Compact"/>
              <w:jc w:val="right"/>
            </w:pPr>
            <w:r>
              <w:t xml:space="preserve">0</w:t>
            </w:r>
            <w:r>
              <w:t xml:space="preserve">,</w:t>
            </w:r>
            <w:r>
              <w:t xml:space="preserve">0</w:t>
            </w:r>
          </w:p>
        </w:tc>
        <w:tc>
          <w:tcPr/>
          <w:p>
            <w:pPr>
              <w:pStyle w:val="Compact"/>
              <w:jc w:val="right"/>
            </w:pPr>
            <w:r>
              <w:t xml:space="preserve">0</w:t>
            </w:r>
            <w:r>
              <w:t xml:space="preserve">,</w:t>
            </w:r>
            <w:r>
              <w:t xml:space="preserve">10</w:t>
            </w:r>
          </w:p>
        </w:tc>
        <w:tc>
          <w:tcPr/>
          <w:p>
            <w:pPr>
              <w:pStyle w:val="Compact"/>
              <w:jc w:val="right"/>
            </w:pPr>
            <m:oMath>
              <m:r>
                <m:rPr>
                  <m:sty m:val="p"/>
                </m:rPr>
                <m:t>+</m:t>
              </m:r>
            </m:oMath>
            <w:r>
              <w:t xml:space="preserve">55</w:t>
            </w:r>
          </w:p>
        </w:tc>
      </w:tr>
      <w:tr>
        <w:tc>
          <w:tcPr/>
          <w:p>
            <w:pPr>
              <w:pStyle w:val="Compact"/>
            </w:pPr>
          </w:p>
        </w:tc>
        <w:tc>
          <w:tcPr/>
          <w:p>
            <w:pPr>
              <w:pStyle w:val="Compact"/>
              <w:jc w:val="right"/>
            </w:pPr>
            <w:r>
              <w:t xml:space="preserve">861</w:t>
            </w:r>
          </w:p>
        </w:tc>
        <w:tc>
          <w:tcPr/>
          <w:p>
            <w:pPr>
              <w:pStyle w:val="Compact"/>
              <w:jc w:val="left"/>
            </w:pPr>
            <w:r>
              <w:t xml:space="preserve">Robo con lesiones graves</w:t>
            </w:r>
          </w:p>
        </w:tc>
        <w:tc>
          <w:tcPr/>
          <w:p>
            <w:pPr>
              <w:pStyle w:val="Compact"/>
              <w:jc w:val="right"/>
            </w:pPr>
            <w:r>
              <w:t xml:space="preserve">175</w:t>
            </w:r>
          </w:p>
        </w:tc>
        <w:tc>
          <w:tcPr/>
          <w:p>
            <w:pPr>
              <w:pStyle w:val="Compact"/>
              <w:jc w:val="right"/>
            </w:pPr>
            <w:r>
              <w:t xml:space="preserve">0</w:t>
            </w:r>
            <w:r>
              <w:t xml:space="preserve">,</w:t>
            </w:r>
            <w:r>
              <w:t xml:space="preserve">0</w:t>
            </w:r>
          </w:p>
        </w:tc>
        <w:tc>
          <w:tcPr/>
          <w:p>
            <w:pPr>
              <w:pStyle w:val="Compact"/>
              <w:jc w:val="right"/>
            </w:pPr>
            <w:r>
              <w:t xml:space="preserve">0</w:t>
            </w:r>
            <w:r>
              <w:t xml:space="preserve">,</w:t>
            </w:r>
            <w:r>
              <w:t xml:space="preserve">09</w:t>
            </w:r>
          </w:p>
        </w:tc>
        <w:tc>
          <w:tcPr/>
          <w:p>
            <w:pPr>
              <w:pStyle w:val="Compact"/>
              <w:jc w:val="right"/>
            </w:pPr>
            <m:oMath>
              <m:r>
                <m:rPr>
                  <m:sty m:val="p"/>
                </m:rPr>
                <m:t>+</m:t>
              </m:r>
            </m:oMath>
            <w:r>
              <w:t xml:space="preserve">17</w:t>
            </w:r>
          </w:p>
        </w:tc>
      </w:tr>
      <w:tr>
        <w:tc>
          <w:tcPr/>
          <w:p>
            <w:pPr>
              <w:pStyle w:val="Compact"/>
            </w:pPr>
          </w:p>
        </w:tc>
        <w:tc>
          <w:tcPr/>
          <w:p>
            <w:pPr>
              <w:pStyle w:val="Compact"/>
              <w:jc w:val="right"/>
            </w:pPr>
            <w:r>
              <w:t xml:space="preserve">829</w:t>
            </w:r>
          </w:p>
        </w:tc>
        <w:tc>
          <w:tcPr/>
          <w:p>
            <w:pPr>
              <w:pStyle w:val="Compact"/>
              <w:jc w:val="left"/>
            </w:pPr>
            <w:r>
              <w:t xml:space="preserve">Robo con castración, mutilación o lesiones graves</w:t>
            </w:r>
          </w:p>
        </w:tc>
        <w:tc>
          <w:tcPr/>
          <w:p>
            <w:pPr>
              <w:pStyle w:val="Compact"/>
              <w:jc w:val="right"/>
            </w:pPr>
            <w:r>
              <w:t xml:space="preserve">15</w:t>
            </w:r>
          </w:p>
        </w:tc>
        <w:tc>
          <w:tcPr/>
          <w:p>
            <w:pPr>
              <w:pStyle w:val="Compact"/>
              <w:jc w:val="right"/>
            </w:pPr>
            <w:r>
              <w:t xml:space="preserve">0</w:t>
            </w:r>
            <w:r>
              <w:t xml:space="preserve">,</w:t>
            </w:r>
            <w:r>
              <w:t xml:space="preserve">0</w:t>
            </w:r>
          </w:p>
        </w:tc>
        <w:tc>
          <w:tcPr/>
          <w:p>
            <w:pPr>
              <w:pStyle w:val="Compact"/>
              <w:jc w:val="right"/>
            </w:pPr>
            <w:r>
              <w:t xml:space="preserve">0</w:t>
            </w:r>
            <w:r>
              <w:t xml:space="preserve">,</w:t>
            </w:r>
            <w:r>
              <w:t xml:space="preserve">005</w:t>
            </w:r>
          </w:p>
        </w:tc>
        <w:tc>
          <w:tcPr/>
          <w:p>
            <w:pPr>
              <w:pStyle w:val="Compact"/>
              <w:jc w:val="right"/>
            </w:pPr>
            <m:oMath>
              <m:r>
                <m:rPr>
                  <m:sty m:val="p"/>
                </m:rPr>
                <m:t>+</m:t>
              </m:r>
            </m:oMath>
            <w:r>
              <w:t xml:space="preserve">71</w:t>
            </w:r>
          </w:p>
        </w:tc>
      </w:tr>
      <w:tr>
        <w:tc>
          <w:tcPr>
            <w:gridSpan w:val="7"/>
          </w:tcPr>
          <w:p>
            <w:pPr>
              <w:pStyle w:val="Compact"/>
              <w:jc w:val="left"/>
            </w:pPr>
            <w:r>
              <w:rPr>
                <w:i/>
                <w:iCs/>
              </w:rPr>
              <w:t xml:space="preserve">Robos por sorpresa</w:t>
            </w:r>
          </w:p>
        </w:tc>
      </w:tr>
      <w:tr>
        <w:tc>
          <w:tcPr/>
          <w:p>
            <w:pPr>
              <w:pStyle w:val="Compact"/>
            </w:pPr>
          </w:p>
        </w:tc>
        <w:tc>
          <w:tcPr/>
          <w:p>
            <w:pPr>
              <w:pStyle w:val="Compact"/>
              <w:jc w:val="right"/>
            </w:pPr>
            <w:r>
              <w:t xml:space="preserve">804</w:t>
            </w:r>
          </w:p>
        </w:tc>
        <w:tc>
          <w:tcPr/>
          <w:p>
            <w:pPr>
              <w:pStyle w:val="Compact"/>
              <w:jc w:val="left"/>
            </w:pPr>
            <w:r>
              <w:t xml:space="preserve">Robo por sorpresa (lanzazo)</w:t>
            </w:r>
          </w:p>
        </w:tc>
        <w:tc>
          <w:tcPr/>
          <w:p>
            <w:pPr>
              <w:pStyle w:val="Compact"/>
              <w:jc w:val="right"/>
            </w:pPr>
            <w:r>
              <w:t xml:space="preserve">382.445</w:t>
            </w:r>
          </w:p>
        </w:tc>
        <w:tc>
          <w:tcPr/>
          <w:p>
            <w:pPr>
              <w:pStyle w:val="Compact"/>
              <w:jc w:val="right"/>
            </w:pPr>
            <w:r>
              <w:t xml:space="preserve">100</w:t>
            </w:r>
            <w:r>
              <w:t xml:space="preserve">,</w:t>
            </w:r>
            <w:r>
              <w:t xml:space="preserve">0</w:t>
            </w:r>
          </w:p>
        </w:tc>
        <w:tc>
          <w:tcPr/>
          <w:p>
            <w:pPr>
              <w:pStyle w:val="Compact"/>
              <w:jc w:val="right"/>
            </w:pPr>
            <w:r>
              <w:t xml:space="preserve">158</w:t>
            </w:r>
            <w:r>
              <w:t xml:space="preserve">,</w:t>
            </w:r>
            <w:r>
              <w:t xml:space="preserve">2</w:t>
            </w:r>
          </w:p>
        </w:tc>
        <w:tc>
          <w:tcPr/>
          <w:p>
            <w:pPr>
              <w:pStyle w:val="Compact"/>
              <w:jc w:val="right"/>
            </w:pPr>
            <m:oMath>
              <m:r>
                <m:rPr>
                  <m:sty m:val="p"/>
                </m:rPr>
                <m:t>−</m:t>
              </m:r>
            </m:oMath>
            <w:r>
              <w:t xml:space="preserve">8</w:t>
            </w:r>
            <w:r>
              <w:t xml:space="preserve">,</w:t>
            </w:r>
            <w:r>
              <w:t xml:space="preserve">0</w:t>
            </w:r>
          </w:p>
        </w:tc>
      </w:tr>
      <w:tr>
        <w:tc>
          <w:tcPr>
            <w:gridSpan w:val="7"/>
          </w:tcPr>
          <w:p>
            <w:pPr>
              <w:pStyle w:val="Compact"/>
              <w:jc w:val="left"/>
            </w:pPr>
            <w:r>
              <w:rPr>
                <w:i/>
                <w:iCs/>
              </w:rPr>
              <w:t xml:space="preserve">Robos no violentos</w:t>
            </w:r>
          </w:p>
        </w:tc>
      </w:tr>
      <w:tr>
        <w:tc>
          <w:tcPr/>
          <w:p>
            <w:pPr>
              <w:pStyle w:val="Compact"/>
            </w:pPr>
          </w:p>
        </w:tc>
        <w:tc>
          <w:tcPr/>
          <w:p>
            <w:pPr>
              <w:pStyle w:val="Compact"/>
              <w:jc w:val="right"/>
            </w:pPr>
            <w:r>
              <w:t xml:space="preserve">808</w:t>
            </w:r>
          </w:p>
        </w:tc>
        <w:tc>
          <w:tcPr/>
          <w:p>
            <w:pPr>
              <w:pStyle w:val="Compact"/>
              <w:jc w:val="left"/>
            </w:pPr>
            <w:r>
              <w:t xml:space="preserve">Robo en lugar uso público</w:t>
            </w:r>
          </w:p>
        </w:tc>
        <w:tc>
          <w:tcPr/>
          <w:p>
            <w:pPr>
              <w:pStyle w:val="Compact"/>
              <w:jc w:val="right"/>
            </w:pPr>
            <w:r>
              <w:t xml:space="preserve">739.657</w:t>
            </w:r>
          </w:p>
        </w:tc>
        <w:tc>
          <w:tcPr/>
          <w:p>
            <w:pPr>
              <w:pStyle w:val="Compact"/>
              <w:jc w:val="right"/>
            </w:pPr>
            <w:r>
              <w:t xml:space="preserve">22</w:t>
            </w:r>
            <w:r>
              <w:t xml:space="preserve">,</w:t>
            </w:r>
            <w:r>
              <w:t xml:space="preserve">7</w:t>
            </w:r>
          </w:p>
        </w:tc>
        <w:tc>
          <w:tcPr/>
          <w:p>
            <w:pPr>
              <w:pStyle w:val="Compact"/>
              <w:jc w:val="right"/>
            </w:pPr>
            <w:r>
              <w:t xml:space="preserve">317</w:t>
            </w:r>
            <w:r>
              <w:t xml:space="preserve">,</w:t>
            </w:r>
            <w:r>
              <w:t xml:space="preserve">3</w:t>
            </w:r>
          </w:p>
        </w:tc>
        <w:tc>
          <w:tcPr/>
          <w:p>
            <w:pPr>
              <w:pStyle w:val="Compact"/>
              <w:jc w:val="right"/>
            </w:pPr>
            <m:oMath>
              <m:r>
                <m:rPr>
                  <m:sty m:val="p"/>
                </m:rPr>
                <m:t>−</m:t>
              </m:r>
            </m:oMath>
            <w:r>
              <w:t xml:space="preserve">18</w:t>
            </w:r>
            <w:r>
              <w:t xml:space="preserve">,</w:t>
            </w:r>
            <w:r>
              <w:t xml:space="preserve">9</w:t>
            </w:r>
          </w:p>
        </w:tc>
      </w:tr>
      <w:tr>
        <w:tc>
          <w:tcPr/>
          <w:p>
            <w:pPr>
              <w:pStyle w:val="Compact"/>
            </w:pPr>
          </w:p>
        </w:tc>
        <w:tc>
          <w:tcPr/>
          <w:p>
            <w:pPr>
              <w:pStyle w:val="Compact"/>
              <w:jc w:val="right"/>
            </w:pPr>
            <w:r>
              <w:t xml:space="preserve">809</w:t>
            </w:r>
          </w:p>
        </w:tc>
        <w:tc>
          <w:tcPr/>
          <w:p>
            <w:pPr>
              <w:pStyle w:val="Compact"/>
              <w:jc w:val="left"/>
            </w:pPr>
            <w:r>
              <w:t xml:space="preserve">Robo en lugar habitado</w:t>
            </w:r>
          </w:p>
        </w:tc>
        <w:tc>
          <w:tcPr/>
          <w:p>
            <w:pPr>
              <w:pStyle w:val="Compact"/>
              <w:jc w:val="right"/>
            </w:pPr>
            <w:r>
              <w:t xml:space="preserve">589.940</w:t>
            </w:r>
          </w:p>
        </w:tc>
        <w:tc>
          <w:tcPr/>
          <w:p>
            <w:pPr>
              <w:pStyle w:val="Compact"/>
              <w:jc w:val="right"/>
            </w:pPr>
            <w:r>
              <w:t xml:space="preserve">18</w:t>
            </w:r>
            <w:r>
              <w:t xml:space="preserve">,</w:t>
            </w:r>
            <w:r>
              <w:t xml:space="preserve">1</w:t>
            </w:r>
          </w:p>
        </w:tc>
        <w:tc>
          <w:tcPr/>
          <w:p>
            <w:pPr>
              <w:pStyle w:val="Compact"/>
              <w:jc w:val="right"/>
            </w:pPr>
            <w:r>
              <w:t xml:space="preserve">268</w:t>
            </w:r>
            <w:r>
              <w:t xml:space="preserve">,</w:t>
            </w:r>
            <w:r>
              <w:t xml:space="preserve">9</w:t>
            </w:r>
          </w:p>
        </w:tc>
        <w:tc>
          <w:tcPr/>
          <w:p>
            <w:pPr>
              <w:pStyle w:val="Compact"/>
              <w:jc w:val="right"/>
            </w:pPr>
            <m:oMath>
              <m:r>
                <m:rPr>
                  <m:sty m:val="p"/>
                </m:rPr>
                <m:t>−</m:t>
              </m:r>
            </m:oMath>
            <w:r>
              <w:t xml:space="preserve">35</w:t>
            </w:r>
            <w:r>
              <w:t xml:space="preserve">,</w:t>
            </w:r>
            <w:r>
              <w:t xml:space="preserve">0</w:t>
            </w:r>
          </w:p>
        </w:tc>
      </w:tr>
      <w:tr>
        <w:tc>
          <w:tcPr/>
          <w:p>
            <w:pPr>
              <w:pStyle w:val="Compact"/>
            </w:pPr>
          </w:p>
        </w:tc>
        <w:tc>
          <w:tcPr/>
          <w:p>
            <w:pPr>
              <w:pStyle w:val="Compact"/>
              <w:jc w:val="right"/>
            </w:pPr>
            <w:r>
              <w:t xml:space="preserve">847</w:t>
            </w:r>
          </w:p>
        </w:tc>
        <w:tc>
          <w:tcPr/>
          <w:p>
            <w:pPr>
              <w:pStyle w:val="Compact"/>
              <w:jc w:val="left"/>
            </w:pPr>
            <w:r>
              <w:t xml:space="preserve">Hurto 4–40 UTM</w:t>
            </w:r>
          </w:p>
        </w:tc>
        <w:tc>
          <w:tcPr/>
          <w:p>
            <w:pPr>
              <w:pStyle w:val="Compact"/>
              <w:jc w:val="right"/>
            </w:pPr>
            <w:r>
              <w:t xml:space="preserve">544.015</w:t>
            </w:r>
          </w:p>
        </w:tc>
        <w:tc>
          <w:tcPr/>
          <w:p>
            <w:pPr>
              <w:pStyle w:val="Compact"/>
              <w:jc w:val="right"/>
            </w:pPr>
            <w:r>
              <w:t xml:space="preserve">16</w:t>
            </w:r>
            <w:r>
              <w:t xml:space="preserve">,</w:t>
            </w:r>
            <w:r>
              <w:t xml:space="preserve">7</w:t>
            </w:r>
          </w:p>
        </w:tc>
        <w:tc>
          <w:tcPr/>
          <w:p>
            <w:pPr>
              <w:pStyle w:val="Compact"/>
              <w:jc w:val="right"/>
            </w:pPr>
            <w:r>
              <w:t xml:space="preserve">235</w:t>
            </w:r>
            <w:r>
              <w:t xml:space="preserve">,</w:t>
            </w:r>
            <w:r>
              <w:t xml:space="preserve">5</w:t>
            </w:r>
          </w:p>
        </w:tc>
        <w:tc>
          <w:tcPr/>
          <w:p>
            <w:pPr>
              <w:pStyle w:val="Compact"/>
              <w:jc w:val="right"/>
            </w:pPr>
            <m:oMath>
              <m:r>
                <m:rPr>
                  <m:sty m:val="p"/>
                </m:rPr>
                <m:t>−</m:t>
              </m:r>
            </m:oMath>
            <w:r>
              <w:t xml:space="preserve">15</w:t>
            </w:r>
            <w:r>
              <w:t xml:space="preserve">,</w:t>
            </w:r>
            <w:r>
              <w:t xml:space="preserve">4</w:t>
            </w:r>
          </w:p>
        </w:tc>
      </w:tr>
      <w:tr>
        <w:tc>
          <w:tcPr/>
          <w:p>
            <w:pPr>
              <w:pStyle w:val="Compact"/>
            </w:pPr>
          </w:p>
        </w:tc>
        <w:tc>
          <w:tcPr/>
          <w:p>
            <w:pPr>
              <w:pStyle w:val="Compact"/>
              <w:jc w:val="right"/>
            </w:pPr>
            <w:r>
              <w:t xml:space="preserve">810</w:t>
            </w:r>
          </w:p>
        </w:tc>
        <w:tc>
          <w:tcPr/>
          <w:p>
            <w:pPr>
              <w:pStyle w:val="Compact"/>
              <w:jc w:val="left"/>
            </w:pPr>
            <w:r>
              <w:t xml:space="preserve">Robo en lugar no habitado</w:t>
            </w:r>
          </w:p>
        </w:tc>
        <w:tc>
          <w:tcPr/>
          <w:p>
            <w:pPr>
              <w:pStyle w:val="Compact"/>
              <w:jc w:val="right"/>
            </w:pPr>
            <w:r>
              <w:t xml:space="preserve">480.777</w:t>
            </w:r>
          </w:p>
        </w:tc>
        <w:tc>
          <w:tcPr/>
          <w:p>
            <w:pPr>
              <w:pStyle w:val="Compact"/>
              <w:jc w:val="right"/>
            </w:pPr>
            <w:r>
              <w:t xml:space="preserve">14</w:t>
            </w:r>
            <w:r>
              <w:t xml:space="preserve">,</w:t>
            </w:r>
            <w:r>
              <w:t xml:space="preserve">7</w:t>
            </w:r>
          </w:p>
        </w:tc>
        <w:tc>
          <w:tcPr/>
          <w:p>
            <w:pPr>
              <w:pStyle w:val="Compact"/>
              <w:jc w:val="right"/>
            </w:pPr>
            <w:r>
              <w:t xml:space="preserve">206</w:t>
            </w:r>
            <w:r>
              <w:t xml:space="preserve">,</w:t>
            </w:r>
            <w:r>
              <w:t xml:space="preserve">6</w:t>
            </w:r>
          </w:p>
        </w:tc>
        <w:tc>
          <w:tcPr/>
          <w:p>
            <w:pPr>
              <w:pStyle w:val="Compact"/>
              <w:jc w:val="right"/>
            </w:pPr>
            <m:oMath>
              <m:r>
                <m:rPr>
                  <m:sty m:val="p"/>
                </m:rPr>
                <m:t>−</m:t>
              </m:r>
            </m:oMath>
            <w:r>
              <w:t xml:space="preserve">15</w:t>
            </w:r>
            <w:r>
              <w:t xml:space="preserve">,</w:t>
            </w:r>
            <w:r>
              <w:t xml:space="preserve">8</w:t>
            </w:r>
          </w:p>
        </w:tc>
      </w:tr>
      <w:tr>
        <w:tc>
          <w:tcPr/>
          <w:p>
            <w:pPr>
              <w:pStyle w:val="Compact"/>
            </w:pPr>
          </w:p>
        </w:tc>
        <w:tc>
          <w:tcPr/>
          <w:p>
            <w:pPr>
              <w:pStyle w:val="Compact"/>
              <w:jc w:val="right"/>
            </w:pPr>
            <w:r>
              <w:t xml:space="preserve">848</w:t>
            </w:r>
          </w:p>
        </w:tc>
        <w:tc>
          <w:tcPr/>
          <w:p>
            <w:pPr>
              <w:pStyle w:val="Compact"/>
              <w:jc w:val="left"/>
            </w:pPr>
            <w:r>
              <w:t xml:space="preserve">Hurto 0</w:t>
            </w:r>
            <w:r>
              <w:t xml:space="preserve">,</w:t>
            </w:r>
            <w:r>
              <w:t xml:space="preserve">5–4 UTM</w:t>
            </w:r>
          </w:p>
        </w:tc>
        <w:tc>
          <w:tcPr/>
          <w:p>
            <w:pPr>
              <w:pStyle w:val="Compact"/>
              <w:jc w:val="right"/>
            </w:pPr>
            <w:r>
              <w:t xml:space="preserve">403.089</w:t>
            </w:r>
          </w:p>
        </w:tc>
        <w:tc>
          <w:tcPr/>
          <w:p>
            <w:pPr>
              <w:pStyle w:val="Compact"/>
              <w:jc w:val="right"/>
            </w:pPr>
            <w:r>
              <w:t xml:space="preserve">12</w:t>
            </w:r>
            <w:r>
              <w:t xml:space="preserve">,</w:t>
            </w:r>
            <w:r>
              <w:t xml:space="preserve">3</w:t>
            </w:r>
          </w:p>
        </w:tc>
        <w:tc>
          <w:tcPr/>
          <w:p>
            <w:pPr>
              <w:pStyle w:val="Compact"/>
              <w:jc w:val="right"/>
            </w:pPr>
            <w:r>
              <w:t xml:space="preserve">174</w:t>
            </w:r>
            <w:r>
              <w:t xml:space="preserve">,</w:t>
            </w:r>
            <w:r>
              <w:t xml:space="preserve">4</w:t>
            </w:r>
          </w:p>
        </w:tc>
        <w:tc>
          <w:tcPr/>
          <w:p>
            <w:pPr>
              <w:pStyle w:val="Compact"/>
              <w:jc w:val="right"/>
            </w:pPr>
            <m:oMath>
              <m:r>
                <m:rPr>
                  <m:sty m:val="p"/>
                </m:rPr>
                <m:t>−</m:t>
              </m:r>
            </m:oMath>
            <w:r>
              <w:t xml:space="preserve">25</w:t>
            </w:r>
            <w:r>
              <w:t xml:space="preserve">,</w:t>
            </w:r>
            <w:r>
              <w:t xml:space="preserve">7</w:t>
            </w:r>
          </w:p>
        </w:tc>
      </w:tr>
      <w:tr>
        <w:tc>
          <w:tcPr/>
          <w:p>
            <w:pPr>
              <w:pStyle w:val="Compact"/>
            </w:pPr>
          </w:p>
        </w:tc>
        <w:tc>
          <w:tcPr/>
          <w:p>
            <w:pPr>
              <w:pStyle w:val="Compact"/>
              <w:jc w:val="right"/>
            </w:pPr>
            <w:r>
              <w:t xml:space="preserve">831</w:t>
            </w:r>
          </w:p>
        </w:tc>
        <w:tc>
          <w:tcPr/>
          <w:p>
            <w:pPr>
              <w:pStyle w:val="Compact"/>
              <w:jc w:val="left"/>
            </w:pPr>
            <w:r>
              <w:t xml:space="preserve">Robo vehículo sin violencia</w:t>
            </w:r>
          </w:p>
        </w:tc>
        <w:tc>
          <w:tcPr/>
          <w:p>
            <w:pPr>
              <w:pStyle w:val="Compact"/>
              <w:jc w:val="right"/>
            </w:pPr>
            <w:r>
              <w:t xml:space="preserve">350.990</w:t>
            </w:r>
          </w:p>
        </w:tc>
        <w:tc>
          <w:tcPr/>
          <w:p>
            <w:pPr>
              <w:pStyle w:val="Compact"/>
              <w:jc w:val="right"/>
            </w:pPr>
            <w:r>
              <w:t xml:space="preserve">10</w:t>
            </w:r>
            <w:r>
              <w:t xml:space="preserve">,</w:t>
            </w:r>
            <w:r>
              <w:t xml:space="preserve">8</w:t>
            </w:r>
          </w:p>
        </w:tc>
        <w:tc>
          <w:tcPr/>
          <w:p>
            <w:pPr>
              <w:pStyle w:val="Compact"/>
              <w:jc w:val="right"/>
            </w:pPr>
            <w:r>
              <w:t xml:space="preserve">137</w:t>
            </w:r>
            <w:r>
              <w:t xml:space="preserve">,</w:t>
            </w:r>
            <w:r>
              <w:t xml:space="preserve">0</w:t>
            </w:r>
          </w:p>
        </w:tc>
        <w:tc>
          <w:tcPr/>
          <w:p>
            <w:pPr>
              <w:pStyle w:val="Compact"/>
              <w:jc w:val="right"/>
            </w:pPr>
            <m:oMath>
              <m:r>
                <m:rPr>
                  <m:sty m:val="p"/>
                </m:rPr>
                <m:t>−</m:t>
              </m:r>
            </m:oMath>
            <w:r>
              <w:t xml:space="preserve">4</w:t>
            </w:r>
            <w:r>
              <w:t xml:space="preserve">,</w:t>
            </w:r>
            <w:r>
              <w:t xml:space="preserve">8</w:t>
            </w:r>
          </w:p>
        </w:tc>
      </w:tr>
      <w:tr>
        <w:tc>
          <w:tcPr/>
          <w:p>
            <w:pPr>
              <w:pStyle w:val="Compact"/>
            </w:pPr>
          </w:p>
        </w:tc>
        <w:tc>
          <w:tcPr/>
          <w:p>
            <w:pPr>
              <w:pStyle w:val="Compact"/>
              <w:jc w:val="right"/>
            </w:pPr>
            <w:r>
              <w:t xml:space="preserve">—</w:t>
            </w:r>
          </w:p>
        </w:tc>
        <w:tc>
          <w:tcPr/>
          <w:p>
            <w:pPr>
              <w:pStyle w:val="Compact"/>
              <w:jc w:val="left"/>
            </w:pPr>
            <w:r>
              <w:t xml:space="preserve">Resto</w:t>
            </w:r>
          </w:p>
        </w:tc>
        <w:tc>
          <w:tcPr/>
          <w:p>
            <w:pPr>
              <w:pStyle w:val="Compact"/>
              <w:jc w:val="right"/>
            </w:pPr>
            <w:r>
              <w:t xml:space="preserve">—</w:t>
            </w:r>
          </w:p>
        </w:tc>
        <w:tc>
          <w:tcPr/>
          <w:p>
            <w:pPr>
              <w:pStyle w:val="Compact"/>
              <w:jc w:val="right"/>
            </w:pPr>
            <w:r>
              <w:t xml:space="preserve">4</w:t>
            </w:r>
            <w:r>
              <w:t xml:space="preserve">,</w:t>
            </w:r>
            <w:r>
              <w:t xml:space="preserve">7</w:t>
            </w:r>
          </w:p>
        </w:tc>
        <w:tc>
          <w:tcPr/>
          <w:p>
            <w:pPr>
              <w:pStyle w:val="Compact"/>
              <w:jc w:val="right"/>
            </w:pPr>
            <w:r>
              <w:t xml:space="preserve">—</w:t>
            </w:r>
          </w:p>
        </w:tc>
        <w:tc>
          <w:tcPr/>
          <w:p>
            <w:pPr>
              <w:pStyle w:val="Compact"/>
              <w:jc w:val="right"/>
            </w:pPr>
            <w:r>
              <w:t xml:space="preserve">variable</w:t>
            </w:r>
          </w:p>
        </w:tc>
      </w:tr>
    </w:tbl>
    <w:bookmarkEnd w:id="36"/>
    <w:p>
      <w:pPr>
        <w:pStyle w:val="BodyText"/>
      </w:pPr>
      <w:r>
        <w:rPr>
          <w:i/>
          <w:iCs/>
        </w:rPr>
        <w:t xml:space="preserve">Nota:</w:t>
      </w:r>
      <w:r>
        <w:t xml:space="preserve"> </w:t>
      </w:r>
      <w:r>
        <w:rPr>
          <w:vertAlign w:val="superscript"/>
        </w:rPr>
        <w:t xml:space="preserve">a</w:t>
      </w:r>
      <w:r>
        <w:t xml:space="preserve"> </w:t>
      </w:r>
      <w:r>
        <w:t xml:space="preserve">Tasa promedio por 100.000 hab. en el período de línea base</w:t>
      </w:r>
      <w:r>
        <w:t xml:space="preserve"> </w:t>
      </w:r>
      <w:r>
        <w:t xml:space="preserve">(2016–2019).</w:t>
      </w:r>
      <w:r>
        <w:t xml:space="preserve"> </w:t>
      </w:r>
      <w:r>
        <w:rPr>
          <w:vertAlign w:val="superscript"/>
        </w:rPr>
        <w:t xml:space="preserve">b</w:t>
      </w:r>
      <w:r>
        <w:t xml:space="preserve"> </w:t>
      </w:r>
      <w:r>
        <w:t xml:space="preserve">Cambio porcentual entre tasa base (2016–2019) y</w:t>
      </w:r>
      <w:r>
        <w:t xml:space="preserve"> </w:t>
      </w:r>
      <w:r>
        <w:t xml:space="preserve">tasa post-pandemia (2022–2025).</w:t>
      </w:r>
      <w:r>
        <w:t xml:space="preserve"> </w:t>
      </w:r>
      <w:r>
        <w:rPr>
          <w:vertAlign w:val="superscript"/>
        </w:rPr>
        <w:t xml:space="preserve">c</w:t>
      </w:r>
      <w:r>
        <w:t xml:space="preserve"> </w:t>
      </w:r>
      <w:r>
        <w:t xml:space="preserve">Incluye las modalidades</w:t>
      </w:r>
      <w:r>
        <w:t xml:space="preserve"> </w:t>
      </w:r>
      <w:r>
        <w:t xml:space="preserve">popularmente conocidas como</w:t>
      </w:r>
      <w:r>
        <w:t xml:space="preserve"> </w:t>
      </w:r>
      <w:r>
        <w:rPr>
          <w:i/>
          <w:iCs/>
        </w:rPr>
        <w:t xml:space="preserve">portonazo</w:t>
      </w:r>
      <w:r>
        <w:t xml:space="preserve"> </w:t>
      </w:r>
      <w:r>
        <w:t xml:space="preserve">y</w:t>
      </w:r>
      <w:r>
        <w:t xml:space="preserve"> </w:t>
      </w:r>
      <w:r>
        <w:rPr>
          <w:i/>
          <w:iCs/>
        </w:rPr>
        <w:t xml:space="preserve">encerrona</w:t>
      </w:r>
      <w:r>
        <w:t xml:space="preserve">; véase nota al</w:t>
      </w:r>
      <w:r>
        <w:t xml:space="preserve"> </w:t>
      </w:r>
      <w:r>
        <w:t xml:space="preserve">pie de Tabla </w:t>
      </w:r>
      <w:hyperlink w:anchor="tab:c3">
        <w:r>
          <w:rPr>
            <w:rStyle w:val="Hyperlink"/>
          </w:rPr>
          <w:t xml:space="preserve">1</w:t>
        </w:r>
      </w:hyperlink>
      <w:r>
        <w:t xml:space="preserve">.</w:t>
      </w:r>
      <w:r>
        <w:t xml:space="preserve"> </w:t>
      </w:r>
      <w:r>
        <w:rPr>
          <w:vertAlign w:val="superscript"/>
        </w:rPr>
        <w:t xml:space="preserve">d</w:t>
      </w:r>
      <w:r>
        <w:t xml:space="preserve"> </w:t>
      </w:r>
      <w:r>
        <w:t xml:space="preserve">Excepción: este código registra</w:t>
      </w:r>
      <w:r>
        <w:t xml:space="preserve"> </w:t>
      </w:r>
      <w:r>
        <w:t xml:space="preserve">volumen significativo desde 2020. La tasa base se calcula sobre 2018–2020</w:t>
      </w:r>
      <w:r>
        <w:t xml:space="preserve"> </w:t>
      </w:r>
      <w:r>
        <w:t xml:space="preserve">(</w:t>
      </w:r>
      <m:oMath>
        <m:sSub>
          <m:e>
            <m:acc>
              <m:accPr>
                <m:chr m:val="‾"/>
              </m:accPr>
              <m:e>
                <m:r>
                  <m:t>x</m:t>
                </m:r>
              </m:e>
            </m:acc>
          </m:e>
          <m:sub>
            <m:r>
              <m:rPr>
                <m:nor/>
                <m:sty m:val="p"/>
              </m:rPr>
              <m:t>anual</m:t>
            </m:r>
          </m:sub>
        </m:sSub>
        <m:r>
          <m:rPr>
            <m:sty m:val="p"/>
          </m:rPr>
          <m:t>=</m:t>
        </m:r>
        <m:r>
          <m:t>10</m:t>
        </m:r>
        <m:r>
          <m:rPr>
            <m:sty m:val="p"/>
          </m:rPr>
          <m:t>,</m:t>
        </m:r>
        <m:r>
          <m:t>5</m:t>
        </m:r>
      </m:oMath>
      <w:r>
        <w:t xml:space="preserve"> </w:t>
      </w:r>
      <w:r>
        <w:t xml:space="preserve">por 100.000), y</w:t>
      </w:r>
      <w:r>
        <w:t xml:space="preserve"> </w:t>
      </w:r>
      <m:oMath>
        <m:r>
          <m:rPr>
            <m:sty m:val="p"/>
          </m:rPr>
          <m:t>Δ</m:t>
        </m:r>
      </m:oMath>
      <w:r>
        <w:t xml:space="preserve">% compara ese período</w:t>
      </w:r>
      <w:r>
        <w:t xml:space="preserve"> </w:t>
      </w:r>
      <w:r>
        <w:t xml:space="preserve">con 2022–2025.</w:t>
      </w:r>
      <w:r>
        <w:t xml:space="preserve"> </w:t>
      </w:r>
      <w:r>
        <w:t xml:space="preserve">N total = casos policiales 2013–2025. Fuente:</w:t>
      </w:r>
      <w:r>
        <w:t xml:space="preserve"> </w:t>
      </w:r>
      <w:r>
        <w:t xml:space="preserve">Instituto Nacional de Estadísticas (2026)</w:t>
      </w:r>
      <w:r>
        <w:t xml:space="preserve">;</w:t>
      </w:r>
      <w:r>
        <w:t xml:space="preserve"> </w:t>
      </w:r>
      <w:r>
        <w:t xml:space="preserve">SERMIG; proyecciones INE Base 2017.</w:t>
      </w:r>
    </w:p>
    <w:p>
      <w:pPr>
        <w:pStyle w:val="BodyText"/>
      </w:pPr>
      <w:r>
        <w:t xml:space="preserve">El ratio mensual robos violentos/(violentos + no violentos), una vez desestacionalizado y suavizado mediante una regresión local</w:t>
      </w:r>
      <w:r>
        <w:t xml:space="preserve"> </w:t>
      </w:r>
      <w:r>
        <w:t xml:space="preserve">polinomial,</w:t>
      </w:r>
      <w:r>
        <w:rPr>
          <w:rStyle w:val="FootnoteReference"/>
        </w:rPr>
        <w:footnoteReference w:id="37"/>
      </w:r>
      <w:r>
        <w:t xml:space="preserve"> </w:t>
      </w:r>
      <w:r>
        <w:t xml:space="preserve">asciende de forma casi monótona desde 14</w:t>
      </w:r>
      <w:r>
        <w:t xml:space="preserve">,</w:t>
      </w:r>
      <w:r>
        <w:t xml:space="preserve">7% en abril de</w:t>
      </w:r>
      <w:r>
        <w:t xml:space="preserve"> </w:t>
      </w:r>
      <w:r>
        <w:t xml:space="preserve">2015 hasta un máximo histórico de 21</w:t>
      </w:r>
      <w:r>
        <w:t xml:space="preserve">,</w:t>
      </w:r>
      <w:r>
        <w:t xml:space="preserve">6% en enero de 2024. Su función es exclusivamente descriptiva: revela la tendencia subyacente filtrada</w:t>
      </w:r>
      <w:r>
        <w:t xml:space="preserve"> </w:t>
      </w:r>
      <w:r>
        <w:t xml:space="preserve">del ruido estacional de corto plazo, sin constituir un test de hipótesis formal.</w:t>
      </w:r>
      <w:r>
        <w:t xml:space="preserve"> </w:t>
      </w:r>
      <w:r>
        <w:t xml:space="preserve">La curva resultante es consistente con—pero conceptualmente independiente de—los</w:t>
      </w:r>
      <w:r>
        <w:t xml:space="preserve"> </w:t>
      </w:r>
      <w:r>
        <w:t xml:space="preserve">quiebres formales del</w:t>
      </w:r>
      <w:r>
        <w:t xml:space="preserve"> </w:t>
      </w:r>
      <w:r>
        <w:rPr>
          <w:i/>
          <w:iCs/>
        </w:rPr>
        <w:t xml:space="preserve">Bai-Perron</w:t>
      </w:r>
      <w:r>
        <w:t xml:space="preserve">. El algoritmo</w:t>
      </w:r>
      <w:r>
        <w:t xml:space="preserve"> </w:t>
      </w:r>
      <w:r>
        <w:rPr>
          <w:i/>
          <w:iCs/>
        </w:rPr>
        <w:t xml:space="preserve">Bai-Perron</w:t>
      </w:r>
      <w:r>
        <w:t xml:space="preserve">, seleccionando</w:t>
      </w:r>
      <w:r>
        <w:t xml:space="preserve"> </w:t>
      </w:r>
      <m:oMath>
        <m:r>
          <m:t>m</m:t>
        </m:r>
        <m:r>
          <m:rPr>
            <m:sty m:val="p"/>
          </m:rPr>
          <m:t>=</m:t>
        </m:r>
        <m:r>
          <m:t>4</m:t>
        </m:r>
      </m:oMath>
      <w:r>
        <w:t xml:space="preserve"> </w:t>
      </w:r>
      <w:r>
        <w:t xml:space="preserve">quiebres por BIC, identifica cuatro inflexiones sucesivas: Q1 en abril de 2015</w:t>
      </w:r>
      <w:r>
        <w:t xml:space="preserve"> </w:t>
      </w:r>
      <w:r>
        <w:t xml:space="preserve">(14</w:t>
      </w:r>
      <w:r>
        <w:t xml:space="preserve">,</w:t>
      </w:r>
      <w:r>
        <w:t xml:space="preserve">7%), Q2 en agosto de 2017 (17</w:t>
      </w:r>
      <w:r>
        <w:t xml:space="preserve">,</w:t>
      </w:r>
      <w:r>
        <w:t xml:space="preserve">1%), Q3 en octubre de 2019 (18</w:t>
      </w:r>
      <w:r>
        <w:t xml:space="preserve">,</w:t>
      </w:r>
      <w:r>
        <w:t xml:space="preserve">4%) y Q4 en enero de 2024 (21</w:t>
      </w:r>
      <w:r>
        <w:t xml:space="preserve">,</w:t>
      </w:r>
      <w:r>
        <w:t xml:space="preserve">6%).</w:t>
      </w:r>
      <w:r>
        <w:rPr>
          <w:rStyle w:val="FootnoteReference"/>
        </w:rPr>
        <w:footnoteReference w:id="38"/>
      </w:r>
      <w:r>
        <w:t xml:space="preserve"> </w:t>
      </w:r>
      <w:r>
        <w:t xml:space="preserve">Cada quiebre marca un nuevo nivel del ratio, pero el mecanismo que</w:t>
      </w:r>
      <w:r>
        <w:t xml:space="preserve"> </w:t>
      </w:r>
      <w:r>
        <w:t xml:space="preserve">los sostiene no es el crecimiento de los robos violentos, sino la contracción más</w:t>
      </w:r>
      <w:r>
        <w:t xml:space="preserve"> </w:t>
      </w:r>
      <w:r>
        <w:t xml:space="preserve">pronunciada de los robos no violentos en el denominador. Esta paradoja—ratio creciente</w:t>
      </w:r>
      <w:r>
        <w:t xml:space="preserve"> </w:t>
      </w:r>
      <w:r>
        <w:t xml:space="preserve">con volumen absoluto decreciente—constituye el hallazgo central del trabajo.</w:t>
      </w:r>
      <w:r>
        <w:t xml:space="preserve"> </w:t>
      </w:r>
      <w:r>
        <w:t xml:space="preserve">La Figura </w:t>
      </w:r>
      <w:hyperlink w:anchor="fig:ratio">
        <w:r>
          <w:rPr>
            <w:rStyle w:val="Hyperlink"/>
          </w:rPr>
          <w:t xml:space="preserve">3</w:t>
        </w:r>
      </w:hyperlink>
      <w:r>
        <w:t xml:space="preserve"> </w:t>
      </w:r>
      <w:r>
        <w:t xml:space="preserve">representa</w:t>
      </w:r>
      <w:r>
        <w:t xml:space="preserve"> </w:t>
      </w:r>
      <w:r>
        <w:t xml:space="preserve">visualmente esta paradoja: la curva</w:t>
      </w:r>
      <w:r>
        <w:t xml:space="preserve"> </w:t>
      </w:r>
      <w:r>
        <w:rPr>
          <w:i/>
          <w:iCs/>
        </w:rPr>
        <w:t xml:space="preserve">LOESS</w:t>
      </w:r>
      <w:r>
        <w:t xml:space="preserve"> </w:t>
      </w:r>
      <w:r>
        <w:t xml:space="preserve">del ratio muestra una tendencia</w:t>
      </w:r>
      <w:r>
        <w:t xml:space="preserve"> </w:t>
      </w:r>
      <w:r>
        <w:t xml:space="preserve">ascendente casi monótona que los cuatro quiebres de</w:t>
      </w:r>
      <w:r>
        <w:t xml:space="preserve"> </w:t>
      </w:r>
      <w:r>
        <w:rPr>
          <w:i/>
          <w:iCs/>
        </w:rPr>
        <w:t xml:space="preserve">Bai-Perron</w:t>
      </w:r>
      <w:r>
        <w:t xml:space="preserve"> </w:t>
      </w:r>
      <w:r>
        <w:t xml:space="preserve">dividen en</w:t>
      </w:r>
      <w:r>
        <w:t xml:space="preserve"> </w:t>
      </w:r>
      <w:r>
        <w:t xml:space="preserve">regímenes sucesivos de mayor ratio.</w:t>
      </w:r>
    </w:p>
    <w:bookmarkStart w:id="42" w:name="fig:ratio"/>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466850"/>
                  <wp:effectExtent b="0" l="0" r="0" t="0"/>
                  <wp:docPr descr="" title="" id="40" name="Picture"/>
                  <a:graphic>
                    <a:graphicData uri="http://schemas.openxmlformats.org/drawingml/2006/picture">
                      <pic:pic>
                        <pic:nvPicPr>
                          <pic:cNvPr descr="fig3_ratio_violentos_mensual.pdf" id="41" name="Picture"/>
                          <pic:cNvPicPr>
                            <a:picLocks noChangeArrowheads="1" noChangeAspect="1"/>
                          </pic:cNvPicPr>
                        </pic:nvPicPr>
                        <pic:blipFill>
                          <a:blip r:embed="rId39"/>
                          <a:stretch>
                            <a:fillRect/>
                          </a:stretch>
                        </pic:blipFill>
                        <pic:spPr bwMode="auto">
                          <a:xfrm>
                            <a:off x="0" y="0"/>
                            <a:ext cx="2667000" cy="1466850"/>
                          </a:xfrm>
                          <a:prstGeom prst="rect">
                            <a:avLst/>
                          </a:prstGeom>
                          <a:noFill/>
                          <a:ln w="9525">
                            <a:noFill/>
                            <a:headEnd/>
                            <a:tailEnd/>
                          </a:ln>
                        </pic:spPr>
                      </pic:pic>
                    </a:graphicData>
                  </a:graphic>
                </wp:inline>
              </w:drawing>
            </w:r>
          </w:p>
        </w:tc>
        <w:tc>
          <w:tcPr/>
          <w:p>
            <w:pPr>
              <w:jc w:val="center"/>
            </w:pPr>
            <w:r>
              <w:rPr>
                <w:i/>
                <w:iCs/>
              </w:rPr>
              <w:t xml:space="preserve">Nota:</w:t>
            </w:r>
            <w:r>
              <w:t xml:space="preserve"> </w:t>
            </w:r>
            <w:r>
              <w:t xml:space="preserve">Las líneas verticales discontinuas marcan los cuatro quiebres óptimos por</w:t>
            </w:r>
            <w:r>
              <w:t xml:space="preserve"> </w:t>
            </w:r>
            <w:r>
              <w:t xml:space="preserve">BIC: Q1 = abr. 2015 (14</w:t>
            </w:r>
            <w:r>
              <w:t xml:space="preserve">,</w:t>
            </w:r>
            <w:r>
              <w:t xml:space="preserve">7%); Q2 = ago. 2017 (17</w:t>
            </w:r>
            <w:r>
              <w:t xml:space="preserve">,</w:t>
            </w:r>
            <w:r>
              <w:t xml:space="preserve">1%); Q3 = oct. 2019 (18</w:t>
            </w:r>
            <w:r>
              <w:t xml:space="preserve">,</w:t>
            </w:r>
            <w:r>
              <w:t xml:space="preserve">4%);</w:t>
            </w:r>
            <w:r>
              <w:t xml:space="preserve"> </w:t>
            </w:r>
            <w:r>
              <w:t xml:space="preserve">Q4 = ene. 2024 (21</w:t>
            </w:r>
            <w:r>
              <w:t xml:space="preserve">,</w:t>
            </w:r>
            <w:r>
              <w:t xml:space="preserve">6%). La serie está desestacionalizada. Fuente:</w:t>
            </w:r>
            <w:r>
              <w:t xml:space="preserve"> </w:t>
            </w:r>
            <w:r>
              <w:t xml:space="preserve">Instituto Nacional de Estadísticas (2026)</w:t>
            </w:r>
            <w:r>
              <w:t xml:space="preserve">.</w:t>
            </w:r>
          </w:p>
        </w:tc>
      </w:tr>
    </w:tbl>
    <w:p>
      <w:pPr>
        <w:pStyle w:val="ImageCaption"/>
      </w:pPr>
      <w:r>
        <w:t xml:space="preserve">Ratio mensual robos violentos/(violentos + no violentos) con quiebres de</w:t>
      </w:r>
      <w:r>
        <w:t xml:space="preserve"> </w:t>
      </w:r>
      <w:r>
        <w:rPr>
          <w:i/>
          <w:iCs/>
        </w:rPr>
        <w:t xml:space="preserve">Bai-Perron</w:t>
      </w:r>
      <w:r>
        <w:t xml:space="preserve">.</w:t>
      </w:r>
    </w:p>
    <w:bookmarkEnd w:id="42"/>
    <w:p>
      <w:pPr>
        <w:pStyle w:val="BodyText"/>
      </w:pPr>
      <w:r>
        <w:t xml:space="preserve">La dimensión espacial del cambio refuerza esta interpretación. El log-ratio</w:t>
      </w:r>
      <w:r>
        <w:t xml:space="preserve"> </w:t>
      </w:r>
      <w:r>
        <w:t xml:space="preserve">entre la tasa promedio del período reciente (2022–2025) y la línea base</w:t>
      </w:r>
      <w:r>
        <w:t xml:space="preserve"> </w:t>
      </w:r>
      <w:r>
        <w:t xml:space="preserve">(2016–2019) muestra que el fenómeno no es geográficamente uniforme</w:t>
      </w:r>
      <w:r>
        <w:t xml:space="preserve"> </w:t>
      </w:r>
      <w:r>
        <w:t xml:space="preserve">(Figura </w:t>
      </w:r>
      <w:hyperlink w:anchor="fig:mapatasa">
        <w:r>
          <w:rPr>
            <w:rStyle w:val="Hyperlink"/>
          </w:rPr>
          <w:t xml:space="preserve">4</w:t>
        </w:r>
      </w:hyperlink>
      <w:r>
        <w:t xml:space="preserve">). Las regiones de la macrozona Norte—especialmente</w:t>
      </w:r>
      <w:r>
        <w:t xml:space="preserve"> </w:t>
      </w:r>
      <w:r>
        <w:t xml:space="preserve">Arica y Parinacota y Tarapacá—exhiben los mayores incrementos relativos,</w:t>
      </w:r>
      <w:r>
        <w:t xml:space="preserve"> </w:t>
      </w:r>
      <w:r>
        <w:t xml:space="preserve">coherentes con la presión migratoria acumulada desde 2018 y la</w:t>
      </w:r>
      <w:r>
        <w:t xml:space="preserve"> </w:t>
      </w:r>
      <w:r>
        <w:t xml:space="preserve">reconfiguración de rutas de crimen organizado que operan sobre esa frontera.</w:t>
      </w:r>
      <w:r>
        <w:t xml:space="preserve"> </w:t>
      </w:r>
      <w:r>
        <w:t xml:space="preserve">En contraste, varias regiones de la macrozona Sur—Biobío, La Araucanía,</w:t>
      </w:r>
      <w:r>
        <w:t xml:space="preserve"> </w:t>
      </w:r>
      <w:r>
        <w:t xml:space="preserve">Maule—muestran valores negativos del log-ratio: sus tasas en 2022–2025 son</w:t>
      </w:r>
      <w:r>
        <w:t xml:space="preserve"> </w:t>
      </w:r>
      <w:r>
        <w:t xml:space="preserve">inferiores al nivel de referencia 2016–2019. Esta aparente paradoja es</w:t>
      </w:r>
      <w:r>
        <w:t xml:space="preserve"> </w:t>
      </w:r>
      <w:r>
        <w:t xml:space="preserve">consistente con su trayectoria en el</w:t>
      </w:r>
      <w:r>
        <w:t xml:space="preserve"> </w:t>
      </w:r>
      <w:r>
        <w:rPr>
          <w:i/>
          <w:iCs/>
        </w:rPr>
        <w:t xml:space="preserve">CUSUM</w:t>
      </w:r>
      <w:r>
        <w:t xml:space="preserve"> </w:t>
      </w:r>
      <w:r>
        <w:t xml:space="preserve">—presentado más adelante en</w:t>
      </w:r>
      <w:r>
        <w:t xml:space="preserve"> </w:t>
      </w:r>
      <w:r>
        <w:t xml:space="preserve">la Sección </w:t>
      </w:r>
      <w:hyperlink w:anchor="sub:regional">
        <w:r>
          <w:rPr>
            <w:rStyle w:val="Hyperlink"/>
          </w:rPr>
          <w:t xml:space="preserve">4.3</w:t>
        </w:r>
      </w:hyperlink>
      <w:r>
        <w:t xml:space="preserve">—: dichas regiones alcanzaron un pico</w:t>
      </w:r>
      <w:r>
        <w:t xml:space="preserve"> </w:t>
      </w:r>
      <w:r>
        <w:t xml:space="preserve">relativamente temprano (quiebres estructurales detectados desde 2017–2018)</w:t>
      </w:r>
      <w:r>
        <w:t xml:space="preserve"> </w:t>
      </w:r>
      <w:r>
        <w:t xml:space="preserve">y luego convergieron hacia la baja. La Región Metropolitana se situúa</w:t>
      </w:r>
      <w:r>
        <w:t xml:space="preserve"> </w:t>
      </w:r>
      <w:r>
        <w:t xml:space="preserve">en torno a cero, reflejando una recuperación post-pandemia que converge</w:t>
      </w:r>
      <w:r>
        <w:t xml:space="preserve"> </w:t>
      </w:r>
      <w:r>
        <w:t xml:space="preserve">hacia el nivel de la línea base sin superarla de forma sostenida. El mapa</w:t>
      </w:r>
      <w:r>
        <w:t xml:space="preserve"> </w:t>
      </w:r>
      <w:r>
        <w:t xml:space="preserve">ilustra, en definitiva, que la inflexión descendente del Spline 4 no opera</w:t>
      </w:r>
      <w:r>
        <w:t xml:space="preserve"> </w:t>
      </w:r>
      <w:r>
        <w:t xml:space="preserve">de manera homogénea sobre el territorio: mientras el norte aún exhibe</w:t>
      </w:r>
      <w:r>
        <w:t xml:space="preserve"> </w:t>
      </w:r>
      <w:r>
        <w:t xml:space="preserve">saldos positivos respecto de 2016–2019, el sur ya los registra negativos,</w:t>
      </w:r>
      <w:r>
        <w:t xml:space="preserve"> </w:t>
      </w:r>
      <w:r>
        <w:t xml:space="preserve">y el agregado nacional resulta de esa compensación parcial.</w:t>
      </w:r>
    </w:p>
    <w:bookmarkStart w:id="46" w:name="fig:mapatasa"/>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1920240" cy="2468880"/>
                  <wp:effectExtent b="0" l="0" r="0" t="0"/>
                  <wp:docPr descr="" title="" id="44" name="Picture"/>
                  <a:graphic>
                    <a:graphicData uri="http://schemas.openxmlformats.org/drawingml/2006/picture">
                      <pic:pic>
                        <pic:nvPicPr>
                          <pic:cNvPr descr="map_logratio_regional.pdf" id="45" name="Picture"/>
                          <pic:cNvPicPr>
                            <a:picLocks noChangeArrowheads="1" noChangeAspect="1"/>
                          </pic:cNvPicPr>
                        </pic:nvPicPr>
                        <pic:blipFill>
                          <a:blip r:embed="rId43"/>
                          <a:stretch>
                            <a:fillRect/>
                          </a:stretch>
                        </pic:blipFill>
                        <pic:spPr bwMode="auto">
                          <a:xfrm>
                            <a:off x="0" y="0"/>
                            <a:ext cx="1920240" cy="2468880"/>
                          </a:xfrm>
                          <a:prstGeom prst="rect">
                            <a:avLst/>
                          </a:prstGeom>
                          <a:noFill/>
                          <a:ln w="9525">
                            <a:noFill/>
                            <a:headEnd/>
                            <a:tailEnd/>
                          </a:ln>
                        </pic:spPr>
                      </pic:pic>
                    </a:graphicData>
                  </a:graphic>
                </wp:inline>
              </w:drawing>
            </w:r>
          </w:p>
        </w:tc>
        <w:tc>
          <w:tcPr/>
          <w:p>
            <w:pPr>
              <w:jc w:val="center"/>
            </w:pPr>
            <w:r>
              <w:rPr>
                <w:i/>
                <w:iCs/>
              </w:rPr>
              <w:t xml:space="preserve">Nota:</w:t>
            </w:r>
            <w:r>
              <w:t xml:space="preserve"> </w:t>
            </w:r>
            <w:r>
              <w:t xml:space="preserve">Valores positivos (rojo) indican regiones donde la tasa en</w:t>
            </w:r>
            <w:r>
              <w:t xml:space="preserve"> </w:t>
            </w:r>
            <w:r>
              <w:t xml:space="preserve">2022–2025 supera a la de 2016–2019; valores negativos (azul) indican</w:t>
            </w:r>
            <w:r>
              <w:t xml:space="preserve"> </w:t>
            </w:r>
            <w:r>
              <w:t xml:space="preserve">regiones con tasa menor en el período reciente. El log-ratio captura el</w:t>
            </w:r>
            <w:r>
              <w:t xml:space="preserve"> </w:t>
            </w:r>
            <w:r>
              <w:t xml:space="preserve">cambio proporcional neutralizando las diferencias de escala absoluta entre</w:t>
            </w:r>
            <w:r>
              <w:t xml:space="preserve"> </w:t>
            </w:r>
            <w:r>
              <w:t xml:space="preserve">regiones—una región con tasa baja y una con tasa alta que se duplican</w:t>
            </w:r>
            <w:r>
              <w:t xml:space="preserve"> </w:t>
            </w:r>
            <w:r>
              <w:t xml:space="preserve">quedan representadas con la misma distancia al cero. Fuente:</w:t>
            </w:r>
            <w:r>
              <w:t xml:space="preserve"> </w:t>
            </w:r>
            <w:r>
              <w:t xml:space="preserve">Instituto Nacional de Estadísticas (2026)</w:t>
            </w:r>
            <w:r>
              <w:t xml:space="preserve">; SERMIG; proyecciones INE Base 2017.</w:t>
            </w:r>
          </w:p>
        </w:tc>
      </w:tr>
    </w:tbl>
    <w:p>
      <w:pPr>
        <w:pStyle w:val="ImageCaption"/>
      </w:pPr>
      <w:r>
        <w:t xml:space="preserve">Cambio relativo en la tasa de robos violentos por región:</w:t>
      </w:r>
      <w:r>
        <w:t xml:space="preserve"> </w:t>
      </w:r>
      <w:r>
        <w:t xml:space="preserve">log-ratio del período reciente (2022–2025) respecto de la línea</w:t>
      </w:r>
      <w:r>
        <w:t xml:space="preserve"> </w:t>
      </w:r>
      <w:r>
        <w:t xml:space="preserve">base (2016–2019).</w:t>
      </w:r>
    </w:p>
    <w:bookmarkEnd w:id="46"/>
    <w:bookmarkEnd w:id="47"/>
    <w:bookmarkStart w:id="49" w:name="sub:inferencial"/>
    <w:p>
      <w:pPr>
        <w:pStyle w:val="Heading2"/>
      </w:pPr>
      <w:r>
        <w:t xml:space="preserve">Modelo principal: tendencia de largo plazo</w:t>
      </w:r>
    </w:p>
    <w:p>
      <w:pPr>
        <w:pStyle w:val="FirstParagraph"/>
      </w:pPr>
      <w:r>
        <w:t xml:space="preserve">La Tabla </w:t>
      </w:r>
      <w:hyperlink w:anchor="tab:poisson">
        <w:r>
          <w:rPr>
            <w:rStyle w:val="Hyperlink"/>
          </w:rPr>
          <w:t xml:space="preserve">4</w:t>
        </w:r>
      </w:hyperlink>
      <w:r>
        <w:t xml:space="preserve"> </w:t>
      </w:r>
      <w:r>
        <w:t xml:space="preserve">reporta los resultados del modelo Poisson-QMLE para las</w:t>
      </w:r>
      <w:r>
        <w:t xml:space="preserve"> </w:t>
      </w:r>
      <w:r>
        <w:t xml:space="preserve">tres categorías C3. Para los robos violentos, el estallido social produjo un aumento</w:t>
      </w:r>
      <w:r>
        <w:t xml:space="preserve"> </w:t>
      </w:r>
      <w:r>
        <w:t xml:space="preserve">transitorio de 15</w:t>
      </w:r>
      <w:r>
        <w:t xml:space="preserve">,</w:t>
      </w:r>
      <w:r>
        <w:t xml:space="preserve">5% (IRR = 1</w:t>
      </w:r>
      <w:r>
        <w:t xml:space="preserve">,</w:t>
      </w:r>
      <w:r>
        <w:t xml:space="preserve">155;</w:t>
      </w:r>
      <w:r>
        <w:t xml:space="preserve"> </w:t>
      </w:r>
      <m:oMath>
        <m:r>
          <m:t>p</m:t>
        </m:r>
        <m:r>
          <m:rPr>
            <m:sty m:val="p"/>
          </m:rPr>
          <m:t>&lt;</m:t>
        </m:r>
        <m:r>
          <m:t>0</m:t>
        </m:r>
        <m:r>
          <m:rPr>
            <m:sty m:val="p"/>
          </m:rPr>
          <m:t>,</m:t>
        </m:r>
        <m:r>
          <m:t>001</m:t>
        </m:r>
      </m:oMath>
      <w:r>
        <w:t xml:space="preserve">), consistente con la hipótesis de</w:t>
      </w:r>
      <w:r>
        <w:t xml:space="preserve"> </w:t>
      </w:r>
      <w:r>
        <w:t xml:space="preserve">que el clima de protesta facilitó delitos de confrontación directa. Los robos por</w:t>
      </w:r>
      <w:r>
        <w:t xml:space="preserve"> </w:t>
      </w:r>
      <w:r>
        <w:t xml:space="preserve">sorpresa aumentaron 6</w:t>
      </w:r>
      <w:r>
        <w:t xml:space="preserve">,</w:t>
      </w:r>
      <w:r>
        <w:t xml:space="preserve">9% (IRR = 1</w:t>
      </w:r>
      <w:r>
        <w:t xml:space="preserve">,</w:t>
      </w:r>
      <w:r>
        <w:t xml:space="preserve">069;</w:t>
      </w:r>
      <w:r>
        <w:t xml:space="preserve"> </w:t>
      </w:r>
      <m:oMath>
        <m:r>
          <m:t>p</m:t>
        </m:r>
        <m:r>
          <m:rPr>
            <m:sty m:val="p"/>
          </m:rPr>
          <m:t>&lt;</m:t>
        </m:r>
        <m:r>
          <m:t>0</m:t>
        </m:r>
        <m:r>
          <m:rPr>
            <m:sty m:val="p"/>
          </m:rPr>
          <m:t>,</m:t>
        </m:r>
        <m:r>
          <m:t>001</m:t>
        </m:r>
      </m:oMath>
      <w:r>
        <w:t xml:space="preserve">). En contraste, los robos no</w:t>
      </w:r>
      <w:r>
        <w:t xml:space="preserve"> </w:t>
      </w:r>
      <w:r>
        <w:t xml:space="preserve">violentos no reaccionaron al estallido (IRR = 0</w:t>
      </w:r>
      <w:r>
        <w:t xml:space="preserve">,</w:t>
      </w:r>
      <w:r>
        <w:t xml:space="preserve">996;</w:t>
      </w:r>
      <w:r>
        <w:t xml:space="preserve"> </w:t>
      </w:r>
      <m:oMath>
        <m:r>
          <m:t>p</m:t>
        </m:r>
        <m:r>
          <m:rPr>
            <m:sty m:val="p"/>
          </m:rPr>
          <m:t>=</m:t>
        </m:r>
        <m:r>
          <m:t>0</m:t>
        </m:r>
        <m:r>
          <m:rPr>
            <m:sty m:val="p"/>
          </m:rPr>
          <m:t>,</m:t>
        </m:r>
        <m:r>
          <m:t>761</m:t>
        </m:r>
      </m:oMath>
      <w:r>
        <w:t xml:space="preserve">): su dinámica</w:t>
      </w:r>
      <w:r>
        <w:t xml:space="preserve"> </w:t>
      </w:r>
      <w:r>
        <w:t xml:space="preserve">responde a factores estructurales de oportunidad, no a la conflictividad social. La</w:t>
      </w:r>
      <w:r>
        <w:t xml:space="preserve"> </w:t>
      </w:r>
      <w:r>
        <w:t xml:space="preserve">pandemia produjo una caída generalizada y significativa:</w:t>
      </w:r>
      <w:r>
        <w:t xml:space="preserve"> </w:t>
      </w:r>
      <m:oMath>
        <m:r>
          <m:rPr>
            <m:sty m:val="p"/>
          </m:rPr>
          <m:t>−</m:t>
        </m:r>
        <m:r>
          <m:t>34</m:t>
        </m:r>
        <m:r>
          <m:rPr>
            <m:sty m:val="p"/>
          </m:rPr>
          <m:t>,</m:t>
        </m:r>
        <m:r>
          <m:t>9</m:t>
        </m:r>
        <m:r>
          <m:rPr>
            <m:sty m:val="p"/>
          </m:rPr>
          <m:t>%</m:t>
        </m:r>
      </m:oMath>
      <w:r>
        <w:t xml:space="preserve"> </w:t>
      </w:r>
      <w:r>
        <w:t xml:space="preserve">en violentos</w:t>
      </w:r>
      <w:r>
        <w:t xml:space="preserve"> </w:t>
      </w:r>
      <w:r>
        <w:t xml:space="preserve">(IRR = 0</w:t>
      </w:r>
      <w:r>
        <w:t xml:space="preserve">,</w:t>
      </w:r>
      <w:r>
        <w:t xml:space="preserve">651),</w:t>
      </w:r>
      <w:r>
        <w:t xml:space="preserve"> </w:t>
      </w:r>
      <m:oMath>
        <m:r>
          <m:rPr>
            <m:sty m:val="p"/>
          </m:rPr>
          <m:t>−</m:t>
        </m:r>
        <m:r>
          <m:t>42</m:t>
        </m:r>
        <m:r>
          <m:rPr>
            <m:sty m:val="p"/>
          </m:rPr>
          <m:t>,</m:t>
        </m:r>
        <m:r>
          <m:t>4</m:t>
        </m:r>
        <m:r>
          <m:rPr>
            <m:sty m:val="p"/>
          </m:rPr>
          <m:t>%</m:t>
        </m:r>
      </m:oMath>
      <w:r>
        <w:t xml:space="preserve"> </w:t>
      </w:r>
      <w:r>
        <w:t xml:space="preserve">en sorpresa (IRR = 0</w:t>
      </w:r>
      <w:r>
        <w:t xml:space="preserve">,</w:t>
      </w:r>
      <w:r>
        <w:t xml:space="preserve">576) y</w:t>
      </w:r>
      <w:r>
        <w:t xml:space="preserve"> </w:t>
      </w:r>
      <m:oMath>
        <m:r>
          <m:rPr>
            <m:sty m:val="p"/>
          </m:rPr>
          <m:t>−</m:t>
        </m:r>
        <m:r>
          <m:t>35</m:t>
        </m:r>
        <m:r>
          <m:rPr>
            <m:sty m:val="p"/>
          </m:rPr>
          <m:t>,</m:t>
        </m:r>
        <m:r>
          <m:t>3</m:t>
        </m:r>
        <m:r>
          <m:rPr>
            <m:sty m:val="p"/>
          </m:rPr>
          <m:t>%</m:t>
        </m:r>
      </m:oMath>
      <w:r>
        <w:t xml:space="preserve"> </w:t>
      </w:r>
      <w:r>
        <w:t xml:space="preserve">en no violentos</w:t>
      </w:r>
      <w:r>
        <w:t xml:space="preserve"> </w:t>
      </w:r>
      <w:r>
        <w:t xml:space="preserve">(IRR = 0</w:t>
      </w:r>
      <w:r>
        <w:t xml:space="preserve">,</w:t>
      </w:r>
      <w:r>
        <w:t xml:space="preserve">647). La mayor intensidad de la caída para sorpresa refleja su dependencia</w:t>
      </w:r>
      <w:r>
        <w:t xml:space="preserve"> </w:t>
      </w:r>
      <w:r>
        <w:t xml:space="preserve">de la aglomeración urbana, bloqueada por las cuarentenas.</w:t>
      </w:r>
    </w:p>
    <w:p>
      <w:pPr>
        <w:pStyle w:val="BodyText"/>
      </w:pPr>
      <w:r>
        <w:t xml:space="preserve">El componente más informativo es la trayectoria del spline. Para los robos violentos,</w:t>
      </w:r>
      <w:r>
        <w:t xml:space="preserve"> </w:t>
      </w:r>
      <w:r>
        <w:t xml:space="preserve">los primeros tres tramos muestran crecimiento moderado—Spline 1 (2013–2016):</w:t>
      </w:r>
      <w:r>
        <w:t xml:space="preserve"> </w:t>
      </w:r>
      <w:r>
        <w:t xml:space="preserve">IRR = 1</w:t>
      </w:r>
      <w:r>
        <w:t xml:space="preserve">,</w:t>
      </w:r>
      <w:r>
        <w:t xml:space="preserve">178,</w:t>
      </w:r>
      <w:r>
        <w:t xml:space="preserve"> </w:t>
      </w:r>
      <m:oMath>
        <m:r>
          <m:t>p</m:t>
        </m:r>
        <m:r>
          <m:rPr>
            <m:sty m:val="p"/>
          </m:rPr>
          <m:t>=</m:t>
        </m:r>
        <m:r>
          <m:t>0</m:t>
        </m:r>
        <m:r>
          <m:rPr>
            <m:sty m:val="p"/>
          </m:rPr>
          <m:t>,</m:t>
        </m:r>
        <m:r>
          <m:t>201</m:t>
        </m:r>
      </m:oMath>
      <w:r>
        <w:t xml:space="preserve">; Spline 2 (2016–2019): IRR = 1</w:t>
      </w:r>
      <w:r>
        <w:t xml:space="preserve">,</w:t>
      </w:r>
      <w:r>
        <w:t xml:space="preserve">136,</w:t>
      </w:r>
      <w:r>
        <w:t xml:space="preserve"> </w:t>
      </w:r>
      <m:oMath>
        <m:r>
          <m:t>p</m:t>
        </m:r>
        <m:r>
          <m:rPr>
            <m:sty m:val="p"/>
          </m:rPr>
          <m:t>=</m:t>
        </m:r>
        <m:r>
          <m:t>0</m:t>
        </m:r>
        <m:r>
          <m:rPr>
            <m:sty m:val="p"/>
          </m:rPr>
          <m:t>,</m:t>
        </m:r>
        <m:r>
          <m:t>087</m:t>
        </m:r>
      </m:oMath>
      <w:r>
        <w:t xml:space="preserve">;</w:t>
      </w:r>
      <w:r>
        <w:t xml:space="preserve"> </w:t>
      </w:r>
      <w:r>
        <w:t xml:space="preserve">Spline 3 (2019–2022): IRR = 1</w:t>
      </w:r>
      <w:r>
        <w:t xml:space="preserve">,</w:t>
      </w:r>
      <w:r>
        <w:t xml:space="preserve">187,</w:t>
      </w:r>
      <w:r>
        <w:t xml:space="preserve"> </w:t>
      </w:r>
      <m:oMath>
        <m:r>
          <m:t>p</m:t>
        </m:r>
        <m:r>
          <m:rPr>
            <m:sty m:val="p"/>
          </m:rPr>
          <m:t>&lt;</m:t>
        </m:r>
        <m:r>
          <m:t>0</m:t>
        </m:r>
        <m:r>
          <m:rPr>
            <m:sty m:val="p"/>
          </m:rPr>
          <m:t>,</m:t>
        </m:r>
        <m:r>
          <m:t>001</m:t>
        </m:r>
      </m:oMath>
      <w:r>
        <w:t xml:space="preserve">. El resultado más relevante es el</w:t>
      </w:r>
      <w:r>
        <w:t xml:space="preserve"> </w:t>
      </w:r>
      <w:r>
        <w:t xml:space="preserve">Spline 4, que captura el período octubre 2022–diciembre 2025: IRR = 0</w:t>
      </w:r>
      <w:r>
        <w:t xml:space="preserve">,</w:t>
      </w:r>
      <w:r>
        <w:t xml:space="preserve">868</w:t>
      </w:r>
      <w:r>
        <w:t xml:space="preserve"> </w:t>
      </w:r>
      <w:r>
        <w:t xml:space="preserve">(</w:t>
      </w:r>
      <m:oMath>
        <m:r>
          <m:t>p</m:t>
        </m:r>
        <m:r>
          <m:rPr>
            <m:sty m:val="p"/>
          </m:rPr>
          <m:t>=</m:t>
        </m:r>
        <m:r>
          <m:t>0</m:t>
        </m:r>
        <m:r>
          <m:rPr>
            <m:sty m:val="p"/>
          </m:rPr>
          <m:t>,</m:t>
        </m:r>
        <m:r>
          <m:t>057</m:t>
        </m:r>
      </m:oMath>
      <w:r>
        <w:t xml:space="preserve"> </w:t>
      </w:r>
      <w:r>
        <w:t xml:space="preserve">por WCB), indicando una inflexión descendente que comienza a emerger</w:t>
      </w:r>
      <w:r>
        <w:t xml:space="preserve"> </w:t>
      </w:r>
      <w:r>
        <w:t xml:space="preserve">estadísticamente. Con</w:t>
      </w:r>
      <w:r>
        <w:t xml:space="preserve"> </w:t>
      </w:r>
      <m:oMath>
        <m:r>
          <m:t>G</m:t>
        </m:r>
        <m:r>
          <m:rPr>
            <m:sty m:val="p"/>
          </m:rPr>
          <m:t>=</m:t>
        </m:r>
        <m:r>
          <m:t>16</m:t>
        </m:r>
      </m:oMath>
      <w:r>
        <w:t xml:space="preserve"> </w:t>
      </w:r>
      <w:r>
        <w:t xml:space="preserve">clusters, un p-valor de 0</w:t>
      </w:r>
      <w:r>
        <w:t xml:space="preserve">,</w:t>
      </w:r>
      <w:r>
        <w:t xml:space="preserve">057 es evidencia sugestiva;</w:t>
      </w:r>
      <w:r>
        <w:t xml:space="preserve"> </w:t>
      </w:r>
      <w:r>
        <w:t xml:space="preserve">su consistencia con el análisis descriptivo y con los placebos fortalece la</w:t>
      </w:r>
      <w:r>
        <w:t xml:space="preserve"> </w:t>
      </w:r>
      <w:r>
        <w:t xml:space="preserve">interpretación de declive real.</w:t>
      </w:r>
    </w:p>
    <w:p>
      <w:pPr>
        <w:pStyle w:val="BodyText"/>
      </w:pPr>
      <w:r>
        <w:t xml:space="preserve">Para los robos no violentos, el declive es robusto, monótono y significativo en todos</w:t>
      </w:r>
      <w:r>
        <w:t xml:space="preserve"> </w:t>
      </w:r>
      <w:r>
        <w:t xml:space="preserve">los tramos: los cuatro coeficientes del spline son negativos y altamente significativos,</w:t>
      </w:r>
      <w:r>
        <w:t xml:space="preserve"> </w:t>
      </w:r>
      <w:r>
        <w:t xml:space="preserve">con Spline 4 mostrando IRR = 0</w:t>
      </w:r>
      <w:r>
        <w:t xml:space="preserve">,</w:t>
      </w:r>
      <w:r>
        <w:t xml:space="preserve">648 (</w:t>
      </w:r>
      <m:oMath>
        <m:r>
          <m:t>p</m:t>
        </m:r>
        <m:r>
          <m:rPr>
            <m:sty m:val="p"/>
          </m:rPr>
          <m:t>&lt;</m:t>
        </m:r>
        <m:r>
          <m:t>0</m:t>
        </m:r>
        <m:r>
          <m:rPr>
            <m:sty m:val="p"/>
          </m:rPr>
          <m:t>,</m:t>
        </m:r>
        <m:r>
          <m:t>001</m:t>
        </m:r>
      </m:oMath>
      <w:r>
        <w:t xml:space="preserve">), una reducción del 35</w:t>
      </w:r>
      <w:r>
        <w:t xml:space="preserve">,</w:t>
      </w:r>
      <w:r>
        <w:t xml:space="preserve">2% respecto</w:t>
      </w:r>
      <w:r>
        <w:t xml:space="preserve"> </w:t>
      </w:r>
      <w:r>
        <w:t xml:space="preserve">del nivel inicial. Esta tendencia comenzó antes de la pandemia y se profundizó a lo</w:t>
      </w:r>
      <w:r>
        <w:t xml:space="preserve"> </w:t>
      </w:r>
      <w:r>
        <w:t xml:space="preserve">largo de todo el horizonte observado, coherente con cambios estructurales en las</w:t>
      </w:r>
      <w:r>
        <w:t xml:space="preserve"> </w:t>
      </w:r>
      <w:r>
        <w:t xml:space="preserve">actividades rutinarias—expansión del comercio electrónico y seguridad residencial.</w:t>
      </w:r>
      <w:r>
        <w:t xml:space="preserve"> </w:t>
      </w:r>
      <w:r>
        <w:t xml:space="preserve">Para los robos por sorpresa, la caída secular domina en los tramos iniciales</w:t>
      </w:r>
      <w:r>
        <w:t xml:space="preserve"> </w:t>
      </w:r>
      <w:r>
        <w:t xml:space="preserve">(Spline 1: IRR = 0</w:t>
      </w:r>
      <w:r>
        <w:t xml:space="preserve">,</w:t>
      </w:r>
      <w:r>
        <w:t xml:space="preserve">668; Spline 2: IRR = 0</w:t>
      </w:r>
      <w:r>
        <w:t xml:space="preserve">,</w:t>
      </w:r>
      <w:r>
        <w:t xml:space="preserve">635), con estabilización en el período</w:t>
      </w:r>
      <w:r>
        <w:t xml:space="preserve"> </w:t>
      </w:r>
      <w:r>
        <w:t xml:space="preserve">reciente (Spline 4: IRR = 0</w:t>
      </w:r>
      <w:r>
        <w:t xml:space="preserve">,</w:t>
      </w:r>
      <w:r>
        <w:t xml:space="preserve">861,</w:t>
      </w:r>
      <w:r>
        <w:t xml:space="preserve"> </w:t>
      </w:r>
      <m:oMath>
        <m:r>
          <m:t>p</m:t>
        </m:r>
        <m:r>
          <m:rPr>
            <m:sty m:val="p"/>
          </m:rPr>
          <m:t>=</m:t>
        </m:r>
        <m:r>
          <m:t>0</m:t>
        </m:r>
        <m:r>
          <m:rPr>
            <m:sty m:val="p"/>
          </m:rPr>
          <m:t>,</m:t>
        </m:r>
        <m:r>
          <m:t>574</m:t>
        </m:r>
      </m:oMath>
      <w:r>
        <w:t xml:space="preserve">). La divergencia entre categorías</w:t>
      </w:r>
      <w:r>
        <w:t xml:space="preserve"> </w:t>
      </w:r>
      <w:r>
        <w:t xml:space="preserve">confirma el valor de la clasificación tricotómica: los tres tipos de robo siguen</w:t>
      </w:r>
      <w:r>
        <w:t xml:space="preserve"> </w:t>
      </w:r>
      <w:r>
        <w:t xml:space="preserve">trayectorias cualitativamente distintas.</w:t>
      </w:r>
    </w:p>
    <w:p>
      <w:pPr>
        <w:pStyle w:val="BodyText"/>
      </w:pPr>
      <w:r>
        <w:t xml:space="preserve">max width=</w:t>
      </w:r>
    </w:p>
    <w:bookmarkStart w:id="48" w:name="tab:poisson"/>
    <w:p>
      <w:pPr>
        <w:pStyle w:val="TableCaption"/>
      </w:pPr>
      <w:r>
        <w:t xml:space="preserve">Modelo Poisson-QMLE con</w:t>
      </w:r>
      <w:r>
        <w:t xml:space="preserve"> </w:t>
      </w:r>
      <w:r>
        <w:rPr>
          <w:i/>
          <w:iCs/>
        </w:rPr>
        <w:t xml:space="preserve">Wild Cluster Bootstrap</w:t>
      </w:r>
      <w:r>
        <w:t xml:space="preserve">: resultados principales (C3)</w:t>
      </w:r>
    </w:p>
    <w:tbl>
      <w:tblPr>
        <w:tblStyle w:val="Table"/>
        <w:tblW w:type="auto" w:w="0"/>
        <w:tblLook w:firstRow="1" w:lastRow="0" w:firstColumn="0" w:lastColumn="0" w:noHBand="0" w:noVBand="0" w:val="0020"/>
        <w:tblCaption w:val="Modelo Poisson-QMLE con Wild Cluster Bootstrap: resultados principales (C3)"/>
      </w:tblPr>
      <w:tblGrid>
        <w:gridCol w:w="792"/>
        <w:gridCol w:w="792"/>
        <w:gridCol w:w="792"/>
        <w:gridCol w:w="792"/>
        <w:gridCol w:w="792"/>
        <w:gridCol w:w="792"/>
        <w:gridCol w:w="792"/>
        <w:gridCol w:w="792"/>
        <w:gridCol w:w="792"/>
        <w:gridCol w:w="792"/>
      </w:tblGrid>
      <w:tr>
        <w:trPr>
          <w:tblHeader w:val="on"/>
        </w:trPr>
        <w:tc>
          <w:tcPr/>
          <w:p>
            <w:pPr>
              <w:pStyle w:val="Compact"/>
            </w:pPr>
          </w:p>
        </w:tc>
        <w:tc>
          <w:tcPr>
            <w:gridSpan w:val="3"/>
          </w:tcPr>
          <w:p>
            <w:pPr>
              <w:pStyle w:val="Compact"/>
              <w:jc w:val="center"/>
            </w:pPr>
            <w:r>
              <w:rPr>
                <w:b/>
                <w:bCs/>
              </w:rPr>
              <w:t xml:space="preserve">Robos violentos</w:t>
            </w:r>
          </w:p>
        </w:tc>
        <w:tc>
          <w:tcPr>
            <w:gridSpan w:val="3"/>
          </w:tcPr>
          <w:p>
            <w:pPr>
              <w:pStyle w:val="Compact"/>
              <w:jc w:val="center"/>
            </w:pPr>
            <w:r>
              <w:rPr>
                <w:b/>
                <w:bCs/>
              </w:rPr>
              <w:t xml:space="preserve">Robos sorpresa</w:t>
            </w:r>
          </w:p>
        </w:tc>
        <w:tc>
          <w:tcPr>
            <w:gridSpan w:val="3"/>
          </w:tcPr>
          <w:p>
            <w:pPr>
              <w:pStyle w:val="Compact"/>
              <w:jc w:val="center"/>
            </w:pPr>
            <w:r>
              <w:rPr>
                <w:b/>
                <w:bCs/>
              </w:rPr>
              <w:t xml:space="preserve">No violentos</w:t>
            </w:r>
          </w:p>
        </w:tc>
      </w:tr>
      <w:tr>
        <w:tc>
          <w:tcPr/>
          <w:p>
            <w:pPr>
              <w:pStyle w:val="Compact"/>
              <w:jc w:val="left"/>
            </w:pPr>
            <w:r>
              <w:t xml:space="preserve">2-4</w:t>
            </w:r>
            <w:r>
              <w:t xml:space="preserve">(lr)</w:t>
            </w:r>
            <w:r>
              <w:t xml:space="preserve">5-7</w:t>
            </w:r>
            <w:r>
              <w:t xml:space="preserve">(lr)</w:t>
            </w:r>
            <w:r>
              <w:t xml:space="preserve">8-10</w:t>
            </w:r>
            <w:r>
              <w:t xml:space="preserve"> </w:t>
            </w:r>
            <w:r>
              <w:rPr>
                <w:b/>
                <w:bCs/>
              </w:rPr>
              <w:t xml:space="preserve">Término</w:t>
            </w:r>
          </w:p>
        </w:tc>
        <w:tc>
          <w:tcPr/>
          <w:p>
            <w:pPr>
              <w:pStyle w:val="Compact"/>
              <w:jc w:val="center"/>
            </w:pPr>
            <w:r>
              <w:t xml:space="preserve">IRR</w:t>
            </w:r>
          </w:p>
        </w:tc>
        <w:tc>
          <w:tcPr/>
          <w:p>
            <w:pPr>
              <w:pStyle w:val="Compact"/>
              <w:jc w:val="center"/>
            </w:pPr>
            <w:r>
              <w:t xml:space="preserve">IC 95%</w:t>
            </w:r>
          </w:p>
        </w:tc>
        <w:tc>
          <w:tcPr/>
          <w:p>
            <w:pPr>
              <w:pStyle w:val="Compact"/>
              <w:jc w:val="center"/>
            </w:pPr>
            <m:oMath>
              <m:r>
                <m:t>p</m:t>
              </m:r>
            </m:oMath>
          </w:p>
        </w:tc>
        <w:tc>
          <w:tcPr/>
          <w:p>
            <w:pPr>
              <w:pStyle w:val="Compact"/>
              <w:jc w:val="center"/>
            </w:pPr>
            <w:r>
              <w:t xml:space="preserve">IRR</w:t>
            </w:r>
          </w:p>
        </w:tc>
        <w:tc>
          <w:tcPr/>
          <w:p>
            <w:pPr>
              <w:pStyle w:val="Compact"/>
              <w:jc w:val="center"/>
            </w:pPr>
            <w:r>
              <w:t xml:space="preserve">IC 95%</w:t>
            </w:r>
          </w:p>
        </w:tc>
        <w:tc>
          <w:tcPr/>
          <w:p>
            <w:pPr>
              <w:pStyle w:val="Compact"/>
              <w:jc w:val="center"/>
            </w:pPr>
            <m:oMath>
              <m:r>
                <m:t>p</m:t>
              </m:r>
            </m:oMath>
          </w:p>
        </w:tc>
        <w:tc>
          <w:tcPr/>
          <w:p>
            <w:pPr>
              <w:pStyle w:val="Compact"/>
              <w:jc w:val="center"/>
            </w:pPr>
            <w:r>
              <w:t xml:space="preserve">IRR</w:t>
            </w:r>
          </w:p>
        </w:tc>
        <w:tc>
          <w:tcPr/>
          <w:p>
            <w:pPr>
              <w:pStyle w:val="Compact"/>
              <w:jc w:val="center"/>
            </w:pPr>
            <w:r>
              <w:t xml:space="preserve">IC 95%</w:t>
            </w:r>
          </w:p>
        </w:tc>
        <w:tc>
          <w:tcPr/>
          <w:p>
            <w:pPr>
              <w:pStyle w:val="Compact"/>
              <w:jc w:val="center"/>
            </w:pPr>
            <m:oMath>
              <m:r>
                <m:t>p</m:t>
              </m:r>
            </m:oMath>
          </w:p>
        </w:tc>
      </w:tr>
      <w:tr>
        <w:tc>
          <w:tcPr/>
          <w:p>
            <w:pPr>
              <w:pStyle w:val="Compact"/>
              <w:jc w:val="left"/>
            </w:pPr>
            <m:oMath>
              <m:sSup>
                <m:e>
                  <m:r>
                    <m:t>D</m:t>
                  </m:r>
                </m:e>
                <m:sup>
                  <m:r>
                    <m:rPr>
                      <m:nor/>
                      <m:sty m:val="p"/>
                    </m:rPr>
                    <m:t>est</m:t>
                  </m:r>
                </m:sup>
              </m:sSup>
            </m:oMath>
          </w:p>
        </w:tc>
        <w:tc>
          <w:tcPr/>
          <w:p>
            <w:pPr>
              <w:pStyle w:val="Compact"/>
              <w:jc w:val="center"/>
            </w:pPr>
            <w:r>
              <w:t xml:space="preserve">1</w:t>
            </w:r>
            <w:r>
              <w:t xml:space="preserve">,</w:t>
            </w:r>
            <w:r>
              <w:t xml:space="preserve">155</w:t>
            </w:r>
          </w:p>
        </w:tc>
        <w:tc>
          <w:tcPr/>
          <w:p>
            <w:pPr>
              <w:pStyle w:val="Compact"/>
              <w:jc w:val="center"/>
            </w:pPr>
            <w:r>
              <w:t xml:space="preserve">[1</w:t>
            </w:r>
            <w:r>
              <w:t xml:space="preserve">,</w:t>
            </w:r>
            <w:r>
              <w:t xml:space="preserve">119, 1</w:t>
            </w:r>
            <w:r>
              <w:t xml:space="preserve">,</w:t>
            </w:r>
            <w:r>
              <w:t xml:space="preserve">192]</w:t>
            </w:r>
          </w:p>
        </w:tc>
        <w:tc>
          <w:tcPr/>
          <w:p>
            <w:pPr>
              <w:pStyle w:val="Compact"/>
              <w:jc w:val="center"/>
            </w:pPr>
            <m:oMath>
              <m:r>
                <m:rPr>
                  <m:sty m:val="p"/>
                </m:rPr>
                <m:t>&lt;</m:t>
              </m:r>
            </m:oMath>
            <w:r>
              <w:t xml:space="preserve">.001</w:t>
            </w:r>
          </w:p>
        </w:tc>
        <w:tc>
          <w:tcPr/>
          <w:p>
            <w:pPr>
              <w:pStyle w:val="Compact"/>
              <w:jc w:val="center"/>
            </w:pPr>
            <w:r>
              <w:t xml:space="preserve">1</w:t>
            </w:r>
            <w:r>
              <w:t xml:space="preserve">,</w:t>
            </w:r>
            <w:r>
              <w:t xml:space="preserve">069</w:t>
            </w:r>
          </w:p>
        </w:tc>
        <w:tc>
          <w:tcPr/>
          <w:p>
            <w:pPr>
              <w:pStyle w:val="Compact"/>
              <w:jc w:val="center"/>
            </w:pPr>
            <w:r>
              <w:t xml:space="preserve">[1</w:t>
            </w:r>
            <w:r>
              <w:t xml:space="preserve">,</w:t>
            </w:r>
            <w:r>
              <w:t xml:space="preserve">031, 1</w:t>
            </w:r>
            <w:r>
              <w:t xml:space="preserve">,</w:t>
            </w:r>
            <w:r>
              <w:t xml:space="preserve">108]</w:t>
            </w:r>
          </w:p>
        </w:tc>
        <w:tc>
          <w:tcPr/>
          <w:p>
            <w:pPr>
              <w:pStyle w:val="Compact"/>
              <w:jc w:val="center"/>
            </w:pPr>
            <m:oMath>
              <m:r>
                <m:rPr>
                  <m:sty m:val="p"/>
                </m:rPr>
                <m:t>&lt;</m:t>
              </m:r>
            </m:oMath>
            <w:r>
              <w:t xml:space="preserve">.001</w:t>
            </w:r>
          </w:p>
        </w:tc>
        <w:tc>
          <w:tcPr/>
          <w:p>
            <w:pPr>
              <w:pStyle w:val="Compact"/>
              <w:jc w:val="center"/>
            </w:pPr>
            <w:r>
              <w:t xml:space="preserve">0</w:t>
            </w:r>
            <w:r>
              <w:t xml:space="preserve">,</w:t>
            </w:r>
            <w:r>
              <w:t xml:space="preserve">996</w:t>
            </w:r>
          </w:p>
        </w:tc>
        <w:tc>
          <w:tcPr/>
          <w:p>
            <w:pPr>
              <w:pStyle w:val="Compact"/>
              <w:jc w:val="center"/>
            </w:pPr>
            <w:r>
              <w:t xml:space="preserve">[0</w:t>
            </w:r>
            <w:r>
              <w:t xml:space="preserve">,</w:t>
            </w:r>
            <w:r>
              <w:t xml:space="preserve">971, 1</w:t>
            </w:r>
            <w:r>
              <w:t xml:space="preserve">,</w:t>
            </w:r>
            <w:r>
              <w:t xml:space="preserve">022]</w:t>
            </w:r>
          </w:p>
        </w:tc>
        <w:tc>
          <w:tcPr/>
          <w:p>
            <w:pPr>
              <w:pStyle w:val="Compact"/>
              <w:jc w:val="center"/>
            </w:pPr>
            <w:r>
              <w:t xml:space="preserve">,</w:t>
            </w:r>
            <w:r>
              <w:t xml:space="preserve">761</w:t>
            </w:r>
          </w:p>
        </w:tc>
      </w:tr>
      <w:tr>
        <w:tc>
          <w:tcPr/>
          <w:p>
            <w:pPr>
              <w:pStyle w:val="Compact"/>
              <w:jc w:val="left"/>
            </w:pPr>
            <m:oMath>
              <m:sSup>
                <m:e>
                  <m:r>
                    <m:t>D</m:t>
                  </m:r>
                </m:e>
                <m:sup>
                  <m:r>
                    <m:rPr>
                      <m:nor/>
                      <m:sty m:val="p"/>
                    </m:rPr>
                    <m:t>pan</m:t>
                  </m:r>
                </m:sup>
              </m:sSup>
            </m:oMath>
          </w:p>
        </w:tc>
        <w:tc>
          <w:tcPr/>
          <w:p>
            <w:pPr>
              <w:pStyle w:val="Compact"/>
              <w:jc w:val="center"/>
            </w:pPr>
            <w:r>
              <w:t xml:space="preserve">0</w:t>
            </w:r>
            <w:r>
              <w:t xml:space="preserve">,</w:t>
            </w:r>
            <w:r>
              <w:t xml:space="preserve">651</w:t>
            </w:r>
          </w:p>
        </w:tc>
        <w:tc>
          <w:tcPr/>
          <w:p>
            <w:pPr>
              <w:pStyle w:val="Compact"/>
              <w:jc w:val="center"/>
            </w:pPr>
            <w:r>
              <w:t xml:space="preserve">[0</w:t>
            </w:r>
            <w:r>
              <w:t xml:space="preserve">,</w:t>
            </w:r>
            <w:r>
              <w:t xml:space="preserve">621, 0</w:t>
            </w:r>
            <w:r>
              <w:t xml:space="preserve">,</w:t>
            </w:r>
            <w:r>
              <w:t xml:space="preserve">682]</w:t>
            </w:r>
          </w:p>
        </w:tc>
        <w:tc>
          <w:tcPr/>
          <w:p>
            <w:pPr>
              <w:pStyle w:val="Compact"/>
              <w:jc w:val="center"/>
            </w:pPr>
            <m:oMath>
              <m:r>
                <m:rPr>
                  <m:sty m:val="p"/>
                </m:rPr>
                <m:t>&lt;</m:t>
              </m:r>
            </m:oMath>
            <w:r>
              <w:t xml:space="preserve">.001</w:t>
            </w:r>
          </w:p>
        </w:tc>
        <w:tc>
          <w:tcPr/>
          <w:p>
            <w:pPr>
              <w:pStyle w:val="Compact"/>
              <w:jc w:val="center"/>
            </w:pPr>
            <w:r>
              <w:t xml:space="preserve">0</w:t>
            </w:r>
            <w:r>
              <w:t xml:space="preserve">,</w:t>
            </w:r>
            <w:r>
              <w:t xml:space="preserve">576</w:t>
            </w:r>
          </w:p>
        </w:tc>
        <w:tc>
          <w:tcPr/>
          <w:p>
            <w:pPr>
              <w:pStyle w:val="Compact"/>
              <w:jc w:val="center"/>
            </w:pPr>
            <w:r>
              <w:t xml:space="preserve">[0</w:t>
            </w:r>
            <w:r>
              <w:t xml:space="preserve">,</w:t>
            </w:r>
            <w:r>
              <w:t xml:space="preserve">547, 0</w:t>
            </w:r>
            <w:r>
              <w:t xml:space="preserve">,</w:t>
            </w:r>
            <w:r>
              <w:t xml:space="preserve">606]</w:t>
            </w:r>
          </w:p>
        </w:tc>
        <w:tc>
          <w:tcPr/>
          <w:p>
            <w:pPr>
              <w:pStyle w:val="Compact"/>
              <w:jc w:val="center"/>
            </w:pPr>
            <m:oMath>
              <m:r>
                <m:rPr>
                  <m:sty m:val="p"/>
                </m:rPr>
                <m:t>&lt;</m:t>
              </m:r>
            </m:oMath>
            <w:r>
              <w:t xml:space="preserve">.001</w:t>
            </w:r>
          </w:p>
        </w:tc>
        <w:tc>
          <w:tcPr/>
          <w:p>
            <w:pPr>
              <w:pStyle w:val="Compact"/>
              <w:jc w:val="center"/>
            </w:pPr>
            <w:r>
              <w:t xml:space="preserve">0</w:t>
            </w:r>
            <w:r>
              <w:t xml:space="preserve">,</w:t>
            </w:r>
            <w:r>
              <w:t xml:space="preserve">647</w:t>
            </w:r>
          </w:p>
        </w:tc>
        <w:tc>
          <w:tcPr/>
          <w:p>
            <w:pPr>
              <w:pStyle w:val="Compact"/>
              <w:jc w:val="center"/>
            </w:pPr>
            <w:r>
              <w:t xml:space="preserve">[0</w:t>
            </w:r>
            <w:r>
              <w:t xml:space="preserve">,</w:t>
            </w:r>
            <w:r>
              <w:t xml:space="preserve">628, 0</w:t>
            </w:r>
            <w:r>
              <w:t xml:space="preserve">,</w:t>
            </w:r>
            <w:r>
              <w:t xml:space="preserve">665]</w:t>
            </w:r>
          </w:p>
        </w:tc>
        <w:tc>
          <w:tcPr/>
          <w:p>
            <w:pPr>
              <w:pStyle w:val="Compact"/>
              <w:jc w:val="center"/>
            </w:pPr>
            <m:oMath>
              <m:r>
                <m:rPr>
                  <m:sty m:val="p"/>
                </m:rPr>
                <m:t>&lt;</m:t>
              </m:r>
            </m:oMath>
            <w:r>
              <w:t xml:space="preserve">.001</w:t>
            </w:r>
          </w:p>
        </w:tc>
      </w:tr>
      <w:tr>
        <w:tc>
          <w:tcPr/>
          <w:p>
            <w:pPr>
              <w:pStyle w:val="Compact"/>
              <w:jc w:val="left"/>
            </w:pPr>
            <w:r>
              <w:t xml:space="preserve">Spline 1</w:t>
            </w:r>
          </w:p>
        </w:tc>
        <w:tc>
          <w:tcPr/>
          <w:p>
            <w:pPr>
              <w:pStyle w:val="Compact"/>
              <w:jc w:val="center"/>
            </w:pPr>
            <w:r>
              <w:t xml:space="preserve">1</w:t>
            </w:r>
            <w:r>
              <w:t xml:space="preserve">,</w:t>
            </w:r>
            <w:r>
              <w:t xml:space="preserve">178</w:t>
            </w:r>
          </w:p>
        </w:tc>
        <w:tc>
          <w:tcPr/>
          <w:p>
            <w:pPr>
              <w:pStyle w:val="Compact"/>
              <w:jc w:val="center"/>
            </w:pPr>
            <w:r>
              <w:t xml:space="preserve">[0</w:t>
            </w:r>
            <w:r>
              <w:t xml:space="preserve">,</w:t>
            </w:r>
            <w:r>
              <w:t xml:space="preserve">917, 1</w:t>
            </w:r>
            <w:r>
              <w:t xml:space="preserve">,</w:t>
            </w:r>
            <w:r>
              <w:t xml:space="preserve">513]</w:t>
            </w:r>
          </w:p>
        </w:tc>
        <w:tc>
          <w:tcPr/>
          <w:p>
            <w:pPr>
              <w:pStyle w:val="Compact"/>
              <w:jc w:val="center"/>
            </w:pPr>
            <w:r>
              <w:t xml:space="preserve">,</w:t>
            </w:r>
            <w:r>
              <w:t xml:space="preserve">201</w:t>
            </w:r>
          </w:p>
        </w:tc>
        <w:tc>
          <w:tcPr/>
          <w:p>
            <w:pPr>
              <w:pStyle w:val="Compact"/>
              <w:jc w:val="center"/>
            </w:pPr>
            <w:r>
              <w:t xml:space="preserve">0</w:t>
            </w:r>
            <w:r>
              <w:t xml:space="preserve">,</w:t>
            </w:r>
            <w:r>
              <w:t xml:space="preserve">668</w:t>
            </w:r>
          </w:p>
        </w:tc>
        <w:tc>
          <w:tcPr/>
          <w:p>
            <w:pPr>
              <w:pStyle w:val="Compact"/>
              <w:jc w:val="center"/>
            </w:pPr>
            <w:r>
              <w:t xml:space="preserve">[0</w:t>
            </w:r>
            <w:r>
              <w:t xml:space="preserve">,</w:t>
            </w:r>
            <w:r>
              <w:t xml:space="preserve">619, 0</w:t>
            </w:r>
            <w:r>
              <w:t xml:space="preserve">,</w:t>
            </w:r>
            <w:r>
              <w:t xml:space="preserve">722]</w:t>
            </w:r>
          </w:p>
        </w:tc>
        <w:tc>
          <w:tcPr/>
          <w:p>
            <w:pPr>
              <w:pStyle w:val="Compact"/>
              <w:jc w:val="center"/>
            </w:pPr>
            <m:oMath>
              <m:r>
                <m:rPr>
                  <m:sty m:val="p"/>
                </m:rPr>
                <m:t>&lt;</m:t>
              </m:r>
            </m:oMath>
            <w:r>
              <w:t xml:space="preserve">.001</w:t>
            </w:r>
          </w:p>
        </w:tc>
        <w:tc>
          <w:tcPr/>
          <w:p>
            <w:pPr>
              <w:pStyle w:val="Compact"/>
              <w:jc w:val="center"/>
            </w:pPr>
            <w:r>
              <w:t xml:space="preserve">0</w:t>
            </w:r>
            <w:r>
              <w:t xml:space="preserve">,</w:t>
            </w:r>
            <w:r>
              <w:t xml:space="preserve">718</w:t>
            </w:r>
          </w:p>
        </w:tc>
        <w:tc>
          <w:tcPr/>
          <w:p>
            <w:pPr>
              <w:pStyle w:val="Compact"/>
              <w:jc w:val="center"/>
            </w:pPr>
            <w:r>
              <w:t xml:space="preserve">[0</w:t>
            </w:r>
            <w:r>
              <w:t xml:space="preserve">,</w:t>
            </w:r>
            <w:r>
              <w:t xml:space="preserve">673, 0</w:t>
            </w:r>
            <w:r>
              <w:t xml:space="preserve">,</w:t>
            </w:r>
            <w:r>
              <w:t xml:space="preserve">767]</w:t>
            </w:r>
          </w:p>
        </w:tc>
        <w:tc>
          <w:tcPr/>
          <w:p>
            <w:pPr>
              <w:pStyle w:val="Compact"/>
              <w:jc w:val="center"/>
            </w:pPr>
            <m:oMath>
              <m:r>
                <m:rPr>
                  <m:sty m:val="p"/>
                </m:rPr>
                <m:t>&lt;</m:t>
              </m:r>
            </m:oMath>
            <w:r>
              <w:t xml:space="preserve">.001</w:t>
            </w:r>
          </w:p>
        </w:tc>
      </w:tr>
      <w:tr>
        <w:tc>
          <w:tcPr/>
          <w:p>
            <w:pPr>
              <w:pStyle w:val="Compact"/>
              <w:jc w:val="left"/>
            </w:pPr>
            <w:r>
              <w:t xml:space="preserve">Spline 2</w:t>
            </w:r>
          </w:p>
        </w:tc>
        <w:tc>
          <w:tcPr/>
          <w:p>
            <w:pPr>
              <w:pStyle w:val="Compact"/>
              <w:jc w:val="center"/>
            </w:pPr>
            <w:r>
              <w:t xml:space="preserve">1</w:t>
            </w:r>
            <w:r>
              <w:t xml:space="preserve">,</w:t>
            </w:r>
            <w:r>
              <w:t xml:space="preserve">136</w:t>
            </w:r>
          </w:p>
        </w:tc>
        <w:tc>
          <w:tcPr/>
          <w:p>
            <w:pPr>
              <w:pStyle w:val="Compact"/>
              <w:jc w:val="center"/>
            </w:pPr>
            <w:r>
              <w:t xml:space="preserve">[0</w:t>
            </w:r>
            <w:r>
              <w:t xml:space="preserve">,</w:t>
            </w:r>
            <w:r>
              <w:t xml:space="preserve">982, 1</w:t>
            </w:r>
            <w:r>
              <w:t xml:space="preserve">,</w:t>
            </w:r>
            <w:r>
              <w:t xml:space="preserve">315]</w:t>
            </w:r>
          </w:p>
        </w:tc>
        <w:tc>
          <w:tcPr/>
          <w:p>
            <w:pPr>
              <w:pStyle w:val="Compact"/>
              <w:jc w:val="center"/>
            </w:pPr>
            <w:r>
              <w:t xml:space="preserve">,</w:t>
            </w:r>
            <w:r>
              <w:t xml:space="preserve">087</w:t>
            </w:r>
          </w:p>
        </w:tc>
        <w:tc>
          <w:tcPr/>
          <w:p>
            <w:pPr>
              <w:pStyle w:val="Compact"/>
              <w:jc w:val="center"/>
            </w:pPr>
            <w:r>
              <w:t xml:space="preserve">0</w:t>
            </w:r>
            <w:r>
              <w:t xml:space="preserve">,</w:t>
            </w:r>
            <w:r>
              <w:t xml:space="preserve">635</w:t>
            </w:r>
          </w:p>
        </w:tc>
        <w:tc>
          <w:tcPr/>
          <w:p>
            <w:pPr>
              <w:pStyle w:val="Compact"/>
              <w:jc w:val="center"/>
            </w:pPr>
            <w:r>
              <w:t xml:space="preserve">[0</w:t>
            </w:r>
            <w:r>
              <w:t xml:space="preserve">,</w:t>
            </w:r>
            <w:r>
              <w:t xml:space="preserve">462, 0</w:t>
            </w:r>
            <w:r>
              <w:t xml:space="preserve">,</w:t>
            </w:r>
            <w:r>
              <w:t xml:space="preserve">873]</w:t>
            </w:r>
          </w:p>
        </w:tc>
        <w:tc>
          <w:tcPr/>
          <w:p>
            <w:pPr>
              <w:pStyle w:val="Compact"/>
              <w:jc w:val="center"/>
            </w:pPr>
            <w:r>
              <w:t xml:space="preserve">,</w:t>
            </w:r>
            <w:r>
              <w:t xml:space="preserve">005</w:t>
            </w:r>
          </w:p>
        </w:tc>
        <w:tc>
          <w:tcPr/>
          <w:p>
            <w:pPr>
              <w:pStyle w:val="Compact"/>
              <w:jc w:val="center"/>
            </w:pPr>
            <w:r>
              <w:t xml:space="preserve">0</w:t>
            </w:r>
            <w:r>
              <w:t xml:space="preserve">,</w:t>
            </w:r>
            <w:r>
              <w:t xml:space="preserve">685</w:t>
            </w:r>
          </w:p>
        </w:tc>
        <w:tc>
          <w:tcPr/>
          <w:p>
            <w:pPr>
              <w:pStyle w:val="Compact"/>
              <w:jc w:val="center"/>
            </w:pPr>
            <w:r>
              <w:t xml:space="preserve">[0</w:t>
            </w:r>
            <w:r>
              <w:t xml:space="preserve">,</w:t>
            </w:r>
            <w:r>
              <w:t xml:space="preserve">568, 0</w:t>
            </w:r>
            <w:r>
              <w:t xml:space="preserve">,</w:t>
            </w:r>
            <w:r>
              <w:t xml:space="preserve">826]</w:t>
            </w:r>
          </w:p>
        </w:tc>
        <w:tc>
          <w:tcPr/>
          <w:p>
            <w:pPr>
              <w:pStyle w:val="Compact"/>
              <w:jc w:val="center"/>
            </w:pPr>
            <m:oMath>
              <m:r>
                <m:rPr>
                  <m:sty m:val="p"/>
                </m:rPr>
                <m:t>&lt;</m:t>
              </m:r>
            </m:oMath>
            <w:r>
              <w:t xml:space="preserve">.001</w:t>
            </w:r>
          </w:p>
        </w:tc>
      </w:tr>
      <w:tr>
        <w:tc>
          <w:tcPr/>
          <w:p>
            <w:pPr>
              <w:pStyle w:val="Compact"/>
              <w:jc w:val="left"/>
            </w:pPr>
            <w:r>
              <w:t xml:space="preserve">Spline 3</w:t>
            </w:r>
          </w:p>
        </w:tc>
        <w:tc>
          <w:tcPr/>
          <w:p>
            <w:pPr>
              <w:pStyle w:val="Compact"/>
              <w:jc w:val="center"/>
            </w:pPr>
            <w:r>
              <w:t xml:space="preserve">1</w:t>
            </w:r>
            <w:r>
              <w:t xml:space="preserve">,</w:t>
            </w:r>
            <w:r>
              <w:t xml:space="preserve">187</w:t>
            </w:r>
          </w:p>
        </w:tc>
        <w:tc>
          <w:tcPr/>
          <w:p>
            <w:pPr>
              <w:pStyle w:val="Compact"/>
              <w:jc w:val="center"/>
            </w:pPr>
            <w:r>
              <w:t xml:space="preserve">[1</w:t>
            </w:r>
            <w:r>
              <w:t xml:space="preserve">,</w:t>
            </w:r>
            <w:r>
              <w:t xml:space="preserve">116, 1</w:t>
            </w:r>
            <w:r>
              <w:t xml:space="preserve">,</w:t>
            </w:r>
            <w:r>
              <w:t xml:space="preserve">264]</w:t>
            </w:r>
          </w:p>
        </w:tc>
        <w:tc>
          <w:tcPr/>
          <w:p>
            <w:pPr>
              <w:pStyle w:val="Compact"/>
              <w:jc w:val="center"/>
            </w:pPr>
            <m:oMath>
              <m:r>
                <m:rPr>
                  <m:sty m:val="p"/>
                </m:rPr>
                <m:t>&lt;</m:t>
              </m:r>
            </m:oMath>
            <w:r>
              <w:t xml:space="preserve">.001</w:t>
            </w:r>
          </w:p>
        </w:tc>
        <w:tc>
          <w:tcPr/>
          <w:p>
            <w:pPr>
              <w:pStyle w:val="Compact"/>
              <w:jc w:val="center"/>
            </w:pPr>
            <w:r>
              <w:t xml:space="preserve">0</w:t>
            </w:r>
            <w:r>
              <w:t xml:space="preserve">,</w:t>
            </w:r>
            <w:r>
              <w:t xml:space="preserve">968</w:t>
            </w:r>
          </w:p>
        </w:tc>
        <w:tc>
          <w:tcPr/>
          <w:p>
            <w:pPr>
              <w:pStyle w:val="Compact"/>
              <w:jc w:val="center"/>
            </w:pPr>
            <w:r>
              <w:t xml:space="preserve">[0</w:t>
            </w:r>
            <w:r>
              <w:t xml:space="preserve">,</w:t>
            </w:r>
            <w:r>
              <w:t xml:space="preserve">634, 1</w:t>
            </w:r>
            <w:r>
              <w:t xml:space="preserve">,</w:t>
            </w:r>
            <w:r>
              <w:t xml:space="preserve">480]</w:t>
            </w:r>
          </w:p>
        </w:tc>
        <w:tc>
          <w:tcPr/>
          <w:p>
            <w:pPr>
              <w:pStyle w:val="Compact"/>
              <w:jc w:val="center"/>
            </w:pPr>
            <w:r>
              <w:t xml:space="preserve">,</w:t>
            </w:r>
            <w:r>
              <w:t xml:space="preserve">882</w:t>
            </w:r>
          </w:p>
        </w:tc>
        <w:tc>
          <w:tcPr/>
          <w:p>
            <w:pPr>
              <w:pStyle w:val="Compact"/>
              <w:jc w:val="center"/>
            </w:pPr>
            <w:r>
              <w:t xml:space="preserve">0</w:t>
            </w:r>
            <w:r>
              <w:t xml:space="preserve">,</w:t>
            </w:r>
            <w:r>
              <w:t xml:space="preserve">656</w:t>
            </w:r>
          </w:p>
        </w:tc>
        <w:tc>
          <w:tcPr/>
          <w:p>
            <w:pPr>
              <w:pStyle w:val="Compact"/>
              <w:jc w:val="center"/>
            </w:pPr>
            <w:r>
              <w:t xml:space="preserve">[0</w:t>
            </w:r>
            <w:r>
              <w:t xml:space="preserve">,</w:t>
            </w:r>
            <w:r>
              <w:t xml:space="preserve">570, 0</w:t>
            </w:r>
            <w:r>
              <w:t xml:space="preserve">,</w:t>
            </w:r>
            <w:r>
              <w:t xml:space="preserve">754]</w:t>
            </w:r>
          </w:p>
        </w:tc>
        <w:tc>
          <w:tcPr/>
          <w:p>
            <w:pPr>
              <w:pStyle w:val="Compact"/>
              <w:jc w:val="center"/>
            </w:pPr>
            <m:oMath>
              <m:r>
                <m:rPr>
                  <m:sty m:val="p"/>
                </m:rPr>
                <m:t>&lt;</m:t>
              </m:r>
            </m:oMath>
            <w:r>
              <w:t xml:space="preserve">.001</w:t>
            </w:r>
          </w:p>
        </w:tc>
      </w:tr>
      <w:tr>
        <w:tc>
          <w:tcPr/>
          <w:p>
            <w:pPr>
              <w:pStyle w:val="Compact"/>
              <w:jc w:val="left"/>
            </w:pPr>
            <w:r>
              <w:rPr>
                <w:b/>
                <w:bCs/>
              </w:rPr>
              <w:t xml:space="preserve">Spline 4</w:t>
            </w:r>
          </w:p>
        </w:tc>
        <w:tc>
          <w:tcPr/>
          <w:p>
            <w:pPr>
              <w:pStyle w:val="Compact"/>
              <w:jc w:val="center"/>
            </w:pPr>
            <w:r>
              <w:rPr>
                <w:b/>
                <w:bCs/>
              </w:rPr>
              <w:t xml:space="preserve">0</w:t>
            </w:r>
            <w:r>
              <w:rPr>
                <w:b/>
                <w:bCs/>
              </w:rPr>
              <w:t xml:space="preserve">,</w:t>
            </w:r>
            <w:r>
              <w:rPr>
                <w:b/>
                <w:bCs/>
              </w:rPr>
              <w:t xml:space="preserve">868</w:t>
            </w:r>
          </w:p>
        </w:tc>
        <w:tc>
          <w:tcPr/>
          <w:p>
            <w:pPr>
              <w:pStyle w:val="Compact"/>
              <w:jc w:val="center"/>
            </w:pPr>
            <w:r>
              <w:rPr>
                <w:b/>
                <w:bCs/>
              </w:rPr>
              <w:t xml:space="preserve">[0</w:t>
            </w:r>
            <w:r>
              <w:rPr>
                <w:b/>
                <w:bCs/>
              </w:rPr>
              <w:t xml:space="preserve">,</w:t>
            </w:r>
            <w:r>
              <w:rPr>
                <w:b/>
                <w:bCs/>
              </w:rPr>
              <w:t xml:space="preserve">751, 1</w:t>
            </w:r>
            <w:r>
              <w:rPr>
                <w:b/>
                <w:bCs/>
              </w:rPr>
              <w:t xml:space="preserve">,</w:t>
            </w:r>
            <w:r>
              <w:rPr>
                <w:b/>
                <w:bCs/>
              </w:rPr>
              <w:t xml:space="preserve">004]</w:t>
            </w:r>
          </w:p>
        </w:tc>
        <w:tc>
          <w:tcPr/>
          <w:p>
            <w:pPr>
              <w:pStyle w:val="Compact"/>
              <w:jc w:val="center"/>
            </w:pPr>
            <w:r>
              <w:rPr>
                <w:b/>
                <w:bCs/>
              </w:rPr>
              <w:t xml:space="preserve">.057</w:t>
            </w:r>
          </w:p>
        </w:tc>
        <w:tc>
          <w:tcPr/>
          <w:p>
            <w:pPr>
              <w:pStyle w:val="Compact"/>
              <w:jc w:val="center"/>
            </w:pPr>
            <w:r>
              <w:t xml:space="preserve">0</w:t>
            </w:r>
            <w:r>
              <w:t xml:space="preserve">,</w:t>
            </w:r>
            <w:r>
              <w:t xml:space="preserve">861</w:t>
            </w:r>
          </w:p>
        </w:tc>
        <w:tc>
          <w:tcPr/>
          <w:p>
            <w:pPr>
              <w:pStyle w:val="Compact"/>
              <w:jc w:val="center"/>
            </w:pPr>
            <w:r>
              <w:t xml:space="preserve">[0</w:t>
            </w:r>
            <w:r>
              <w:t xml:space="preserve">,</w:t>
            </w:r>
            <w:r>
              <w:t xml:space="preserve">511, 1</w:t>
            </w:r>
            <w:r>
              <w:t xml:space="preserve">,</w:t>
            </w:r>
            <w:r>
              <w:t xml:space="preserve">450]</w:t>
            </w:r>
          </w:p>
        </w:tc>
        <w:tc>
          <w:tcPr/>
          <w:p>
            <w:pPr>
              <w:pStyle w:val="Compact"/>
              <w:jc w:val="center"/>
            </w:pPr>
            <w:r>
              <w:t xml:space="preserve">,</w:t>
            </w:r>
            <w:r>
              <w:t xml:space="preserve">574</w:t>
            </w:r>
          </w:p>
        </w:tc>
        <w:tc>
          <w:tcPr/>
          <w:p>
            <w:pPr>
              <w:pStyle w:val="Compact"/>
              <w:jc w:val="center"/>
            </w:pPr>
            <w:r>
              <w:rPr>
                <w:b/>
                <w:bCs/>
              </w:rPr>
              <w:t xml:space="preserve">0</w:t>
            </w:r>
            <w:r>
              <w:rPr>
                <w:b/>
                <w:bCs/>
              </w:rPr>
              <w:t xml:space="preserve">,</w:t>
            </w:r>
            <w:r>
              <w:rPr>
                <w:b/>
                <w:bCs/>
              </w:rPr>
              <w:t xml:space="preserve">648</w:t>
            </w:r>
          </w:p>
        </w:tc>
        <w:tc>
          <w:tcPr/>
          <w:p>
            <w:pPr>
              <w:pStyle w:val="Compact"/>
              <w:jc w:val="center"/>
            </w:pPr>
            <w:r>
              <w:rPr>
                <w:b/>
                <w:bCs/>
              </w:rPr>
              <w:t xml:space="preserve">[0</w:t>
            </w:r>
            <w:r>
              <w:rPr>
                <w:b/>
                <w:bCs/>
              </w:rPr>
              <w:t xml:space="preserve">,</w:t>
            </w:r>
            <w:r>
              <w:rPr>
                <w:b/>
                <w:bCs/>
              </w:rPr>
              <w:t xml:space="preserve">580, 0</w:t>
            </w:r>
            <w:r>
              <w:rPr>
                <w:b/>
                <w:bCs/>
              </w:rPr>
              <w:t xml:space="preserve">,</w:t>
            </w:r>
            <w:r>
              <w:rPr>
                <w:b/>
                <w:bCs/>
              </w:rPr>
              <w:t xml:space="preserve">723]</w:t>
            </w:r>
          </w:p>
        </w:tc>
        <w:tc>
          <w:tcPr/>
          <w:p>
            <w:pPr>
              <w:pStyle w:val="Compact"/>
              <w:jc w:val="center"/>
            </w:pPr>
            <m:oMath>
              <m:r>
                <m:rPr>
                  <m:sty m:val="p"/>
                </m:rPr>
                <m:t>&lt;</m:t>
              </m:r>
            </m:oMath>
            <w:r>
              <w:t xml:space="preserve">.001</w:t>
            </w:r>
          </w:p>
        </w:tc>
      </w:tr>
      <w:tr>
        <w:tc>
          <w:tcPr/>
          <w:p>
            <w:pPr>
              <w:pStyle w:val="Compact"/>
              <w:jc w:val="left"/>
            </w:pPr>
            <w:r>
              <w:t xml:space="preserve">Obs.</w:t>
            </w:r>
          </w:p>
        </w:tc>
        <w:tc>
          <w:tcPr/>
          <w:p>
            <w:pPr>
              <w:pStyle w:val="Compact"/>
              <w:jc w:val="center"/>
            </w:pPr>
            <w:r>
              <w:t xml:space="preserve">2.496</w:t>
            </w:r>
          </w:p>
        </w:tc>
        <w:tc>
          <w:tcPr/>
          <w:p>
            <w:pPr>
              <w:pStyle w:val="Compact"/>
            </w:pPr>
          </w:p>
        </w:tc>
        <w:tc>
          <w:tcPr/>
          <w:p>
            <w:pPr>
              <w:pStyle w:val="Compact"/>
            </w:pPr>
          </w:p>
        </w:tc>
        <w:tc>
          <w:tcPr/>
          <w:p>
            <w:pPr>
              <w:pStyle w:val="Compact"/>
              <w:jc w:val="center"/>
            </w:pPr>
            <w:r>
              <w:t xml:space="preserve">2.496</w:t>
            </w:r>
          </w:p>
        </w:tc>
        <w:tc>
          <w:tcPr/>
          <w:p>
            <w:pPr>
              <w:pStyle w:val="Compact"/>
            </w:pPr>
          </w:p>
        </w:tc>
        <w:tc>
          <w:tcPr/>
          <w:p>
            <w:pPr>
              <w:pStyle w:val="Compact"/>
            </w:pPr>
          </w:p>
        </w:tc>
        <w:tc>
          <w:tcPr/>
          <w:p>
            <w:pPr>
              <w:pStyle w:val="Compact"/>
              <w:jc w:val="center"/>
            </w:pPr>
            <w:r>
              <w:t xml:space="preserve">2.496</w:t>
            </w:r>
          </w:p>
        </w:tc>
        <w:tc>
          <w:tcPr/>
          <w:p>
            <w:pPr>
              <w:pStyle w:val="Compact"/>
            </w:pPr>
          </w:p>
        </w:tc>
        <w:tc>
          <w:tcPr/>
          <w:p>
            <w:pPr>
              <w:pStyle w:val="Compact"/>
            </w:pPr>
          </w:p>
        </w:tc>
      </w:tr>
    </w:tbl>
    <w:bookmarkEnd w:id="48"/>
    <w:p>
      <w:pPr>
        <w:pStyle w:val="BodyText"/>
      </w:pPr>
      <w:r>
        <w:rPr>
          <w:i/>
          <w:iCs/>
        </w:rPr>
        <w:t xml:space="preserve">Nota:</w:t>
      </w:r>
      <w:r>
        <w:t xml:space="preserve"> </w:t>
      </w:r>
      <w:r>
        <w:t xml:space="preserve">IRR = exp(</w:t>
      </w:r>
      <m:oMath>
        <m:acc>
          <m:accPr>
            <m:chr m:val="̂"/>
          </m:accPr>
          <m:e>
            <m:r>
              <m:t>β</m:t>
            </m:r>
          </m:e>
        </m:acc>
      </m:oMath>
      <w:r>
        <w:t xml:space="preserve">). IC 95% por inversión del WCB (pesos de Webb,</w:t>
      </w:r>
      <w:r>
        <w:t xml:space="preserve"> </w:t>
      </w:r>
      <m:oMath>
        <m:r>
          <m:t>B</m:t>
        </m:r>
        <m:r>
          <m:rPr>
            <m:sty m:val="p"/>
          </m:rPr>
          <m:t>=</m:t>
        </m:r>
        <m:r>
          <m:t>9</m:t>
        </m:r>
        <m:r>
          <m:rPr>
            <m:sty m:val="p"/>
          </m:rPr>
          <m:t>,</m:t>
        </m:r>
        <m:r>
          <m:t>999</m:t>
        </m:r>
      </m:oMath>
      <w:r>
        <w:t xml:space="preserve">,</w:t>
      </w:r>
      <w:r>
        <w:t xml:space="preserve"> </w:t>
      </w:r>
      <m:oMath>
        <m:r>
          <m:t>G</m:t>
        </m:r>
        <m:r>
          <m:rPr>
            <m:sty m:val="p"/>
          </m:rPr>
          <m:t>=</m:t>
        </m:r>
        <m:r>
          <m:t>16</m:t>
        </m:r>
      </m:oMath>
      <w:r>
        <w:t xml:space="preserve">).</w:t>
      </w:r>
      <w:r>
        <w:t xml:space="preserve"> </w:t>
      </w:r>
      <m:oMath>
        <m:sSup>
          <m:e>
            <m:r>
              <m:t>D</m:t>
            </m:r>
          </m:e>
          <m:sup>
            <m:r>
              <m:rPr>
                <m:nor/>
                <m:sty m:val="p"/>
              </m:rPr>
              <m:t>est</m:t>
            </m:r>
          </m:sup>
        </m:sSup>
      </m:oMath>
      <w:r>
        <w:t xml:space="preserve">: dummy estallido social (oct. 2019–feb. 2020).</w:t>
      </w:r>
      <w:r>
        <w:t xml:space="preserve"> </w:t>
      </w:r>
      <m:oMath>
        <m:sSup>
          <m:e>
            <m:r>
              <m:t>D</m:t>
            </m:r>
          </m:e>
          <m:sup>
            <m:r>
              <m:rPr>
                <m:nor/>
                <m:sty m:val="p"/>
              </m:rPr>
              <m:t>pan</m:t>
            </m:r>
          </m:sup>
        </m:sSup>
      </m:oMath>
      <w:r>
        <w:t xml:space="preserve">: dummy pandemia (mar. 2020–dic. 2021). Spline 1–4: spline</w:t>
      </w:r>
      <w:r>
        <w:t xml:space="preserve"> </w:t>
      </w:r>
      <w:r>
        <w:t xml:space="preserve">cúbico restringido con nodos en P25 (</w:t>
      </w:r>
      <m:oMath>
        <m:r>
          <m:rPr>
            <m:sty m:val="p"/>
          </m:rPr>
          <m:t>≈</m:t>
        </m:r>
      </m:oMath>
      <w:r>
        <w:t xml:space="preserve"> </w:t>
      </w:r>
      <w:r>
        <w:t xml:space="preserve">abr. 2016), P50 (</w:t>
      </w:r>
      <m:oMath>
        <m:r>
          <m:rPr>
            <m:sty m:val="p"/>
          </m:rPr>
          <m:t>≈</m:t>
        </m:r>
      </m:oMath>
      <w:r>
        <w:t xml:space="preserve"> </w:t>
      </w:r>
      <w:r>
        <w:t xml:space="preserve">jun. 2019)</w:t>
      </w:r>
      <w:r>
        <w:t xml:space="preserve"> </w:t>
      </w:r>
      <w:r>
        <w:t xml:space="preserve">y P75 (</w:t>
      </w:r>
      <m:oMath>
        <m:r>
          <m:rPr>
            <m:sty m:val="p"/>
          </m:rPr>
          <m:t>≈</m:t>
        </m:r>
      </m:oMath>
      <w:r>
        <w:t xml:space="preserve"> </w:t>
      </w:r>
      <w:r>
        <w:t xml:space="preserve">sep. 2022). Todos los modelos incluyen efectos fijos regionales y</w:t>
      </w:r>
      <w:r>
        <w:t xml:space="preserve"> </w:t>
      </w:r>
      <w:r>
        <w:t xml:space="preserve">dummies mensuales de estacionalidad. Offset:</w:t>
      </w:r>
      <w:r>
        <w:t xml:space="preserve"> </w:t>
      </w:r>
      <m:oMath>
        <m:r>
          <m:rPr>
            <m:sty m:val="p"/>
          </m:rPr>
          <m:t>log</m:t>
        </m:r>
      </m:oMath>
      <w:r>
        <w:t xml:space="preserve">(población mensual corregida).</w:t>
      </w:r>
    </w:p>
    <w:bookmarkEnd w:id="49"/>
    <w:bookmarkStart w:id="55" w:name="sub:regional"/>
    <w:p>
      <w:pPr>
        <w:pStyle w:val="Heading2"/>
      </w:pPr>
      <w:r>
        <w:t xml:space="preserve">Quiebres estructurales y heterogeneidad territorial</w:t>
      </w:r>
    </w:p>
    <w:p>
      <w:pPr>
        <w:pStyle w:val="FirstParagraph"/>
      </w:pPr>
      <w:r>
        <w:t xml:space="preserve">Los tests</w:t>
      </w:r>
      <w:r>
        <w:t xml:space="preserve"> </w:t>
      </w:r>
      <w:r>
        <w:rPr>
          <w:i/>
          <w:iCs/>
        </w:rPr>
        <w:t xml:space="preserve">CUSUM</w:t>
      </w:r>
      <w:r>
        <w:t xml:space="preserve">-GLM revelan que el cambio estructural en los robos violentos es real pero</w:t>
      </w:r>
      <w:r>
        <w:t xml:space="preserve"> </w:t>
      </w:r>
      <w:r>
        <w:t xml:space="preserve">temporalmente heterogéneo: 12 de 16 regiones presentan quiebre significativo</w:t>
      </w:r>
      <w:r>
        <w:t xml:space="preserve"> </w:t>
      </w:r>
      <w:r>
        <w:t xml:space="preserve">(p-FDR &lt; 0</w:t>
      </w:r>
      <w:r>
        <w:t xml:space="preserve">,</w:t>
      </w:r>
      <w:r>
        <w:t xml:space="preserve">05), pero en tres momentos distintos que responden a lógicas locales</w:t>
      </w:r>
      <w:r>
        <w:t xml:space="preserve"> </w:t>
      </w:r>
      <w:r>
        <w:t xml:space="preserve">diferentes (Tabla </w:t>
      </w:r>
      <w:hyperlink w:anchor="tab:cusum">
        <w:r>
          <w:rPr>
            <w:rStyle w:val="Hyperlink"/>
          </w:rPr>
          <w:t xml:space="preserve">5</w:t>
        </w:r>
      </w:hyperlink>
      <w:r>
        <w:t xml:space="preserve">).</w:t>
      </w:r>
    </w:p>
    <w:p>
      <w:pPr>
        <w:pStyle w:val="BodyText"/>
      </w:pPr>
      <w:r>
        <w:t xml:space="preserve">El primer grupo, de quiebre pre-pandemia, comprende las regiones de la macrozona Sur</w:t>
      </w:r>
      <w:r>
        <w:t xml:space="preserve"> </w:t>
      </w:r>
      <w:r>
        <w:t xml:space="preserve">(Maule: abril 2017; Biobío: agosto 2018; La Araucanía: julio 2018) y Magallanes</w:t>
      </w:r>
      <w:r>
        <w:t xml:space="preserve"> </w:t>
      </w:r>
      <w:r>
        <w:t xml:space="preserve">(agosto 2017). Estas inflexiones preceden en más de dos años al estallido social, lo que</w:t>
      </w:r>
      <w:r>
        <w:t xml:space="preserve"> </w:t>
      </w:r>
      <w:r>
        <w:t xml:space="preserve">indica procesos locales independientes del shock nacional. En La Araucanía y</w:t>
      </w:r>
      <w:r>
        <w:t xml:space="preserve"> </w:t>
      </w:r>
      <w:r>
        <w:t xml:space="preserve">Biobío, este período coincide con la escalada del conflicto territorial</w:t>
      </w:r>
      <w:r>
        <w:t xml:space="preserve"> </w:t>
      </w:r>
      <w:r>
        <w:t xml:space="preserve">mapuche—quemas de predios forestales, ataques a maquinaria agrícola y</w:t>
      </w:r>
      <w:r>
        <w:t xml:space="preserve"> </w:t>
      </w:r>
      <w:r>
        <w:t xml:space="preserve">enfrentamientos con fuerzas del orden—que generó un contexto local de mayor</w:t>
      </w:r>
      <w:r>
        <w:t xml:space="preserve"> </w:t>
      </w:r>
      <w:r>
        <w:t xml:space="preserve">predisposición al delito violento. En Magallanes y Maule, las inflexiones</w:t>
      </w:r>
      <w:r>
        <w:t xml:space="preserve"> </w:t>
      </w:r>
      <w:r>
        <w:t xml:space="preserve">tempranas reflejan dinámicas de recomposición local de redes criminales y,</w:t>
      </w:r>
      <w:r>
        <w:t xml:space="preserve"> </w:t>
      </w:r>
      <w:r>
        <w:t xml:space="preserve">en menor medida, flujos de migración interna. El segundo grupo, de quiebre durante</w:t>
      </w:r>
      <w:r>
        <w:t xml:space="preserve"> </w:t>
      </w:r>
      <w:r>
        <w:t xml:space="preserve">la pandemia y la reactivación, agrupa a la mayoría de las regiones—Región</w:t>
      </w:r>
      <w:r>
        <w:t xml:space="preserve"> </w:t>
      </w:r>
      <w:r>
        <w:t xml:space="preserve">Metropolitana (julio 2020), Atacama (agosto 2021), O’Higgins (septiembre 2021), Coquimbo</w:t>
      </w:r>
      <w:r>
        <w:t xml:space="preserve"> </w:t>
      </w:r>
      <w:r>
        <w:t xml:space="preserve">(septiembre 2021), Arica y Parinacota (julio 2021) y Ñuble (agosto 2021)—con</w:t>
      </w:r>
      <w:r>
        <w:t xml:space="preserve"> </w:t>
      </w:r>
      <w:r>
        <w:t xml:space="preserve">inflexiones concentradas entre julio de 2020 y septiembre de 2021. La combinación de</w:t>
      </w:r>
      <w:r>
        <w:t xml:space="preserve"> </w:t>
      </w:r>
      <w:r>
        <w:t xml:space="preserve">restricciones de movilidad y posterior reactivación reorganizó los patrones</w:t>
      </w:r>
      <w:r>
        <w:t xml:space="preserve"> </w:t>
      </w:r>
      <w:r>
        <w:t xml:space="preserve">delictuales de manera suficientemente profunda como para generar quiebres</w:t>
      </w:r>
      <w:r>
        <w:t xml:space="preserve"> </w:t>
      </w:r>
      <w:r>
        <w:t xml:space="preserve">estadísticamente detectables. El tercer grupo, de quiebre tardío, corresponde</w:t>
      </w:r>
      <w:r>
        <w:t xml:space="preserve"> </w:t>
      </w:r>
      <w:r>
        <w:t xml:space="preserve">exclusivamente a Tarapacá (agosto 2023): la intensidad migratoria desde la frontera</w:t>
      </w:r>
      <w:r>
        <w:t xml:space="preserve"> </w:t>
      </w:r>
      <w:r>
        <w:t xml:space="preserve">norte y la reconfiguración de rutas del crimen organizado explican este desfase.</w:t>
      </w:r>
      <w:r>
        <w:t xml:space="preserve"> </w:t>
      </w:r>
      <w:r>
        <w:t xml:space="preserve">Cuatro regiones—Antofagasta, Valparaíso, Los Lagos y Los Ríos—no muestran</w:t>
      </w:r>
      <w:r>
        <w:t xml:space="preserve"> </w:t>
      </w:r>
      <w:r>
        <w:t xml:space="preserve">evidencia de quiebre significativo.</w:t>
      </w:r>
    </w:p>
    <w:p>
      <w:pPr>
        <w:pStyle w:val="BodyText"/>
      </w:pPr>
      <w:r>
        <w:t xml:space="preserve">max width=</w:t>
      </w:r>
    </w:p>
    <w:bookmarkStart w:id="50" w:name="tab:cusum"/>
    <w:p>
      <w:pPr>
        <w:pStyle w:val="TableCaption"/>
      </w:pPr>
      <w:r>
        <w:t xml:space="preserve">Tests</w:t>
      </w:r>
      <w:r>
        <w:t xml:space="preserve"> </w:t>
      </w:r>
      <w:r>
        <w:rPr>
          <w:i/>
          <w:iCs/>
        </w:rPr>
        <w:t xml:space="preserve">CUSUM</w:t>
      </w:r>
      <w:r>
        <w:t xml:space="preserve">-GLM: quiebre estructural en robos violentos por región</w:t>
      </w:r>
    </w:p>
    <w:tbl>
      <w:tblPr>
        <w:tblStyle w:val="Table"/>
        <w:tblW w:type="auto" w:w="0"/>
        <w:tblLook w:firstRow="1" w:lastRow="0" w:firstColumn="0" w:lastColumn="0" w:noHBand="0" w:noVBand="0" w:val="0020"/>
        <w:tblCaption w:val="Tests CUSUM-GLM: quiebre estructural en robos violentos por región"/>
      </w:tblPr>
      <w:tblGrid>
        <w:gridCol w:w="1584"/>
        <w:gridCol w:w="1584"/>
        <w:gridCol w:w="1584"/>
        <w:gridCol w:w="1584"/>
        <w:gridCol w:w="1584"/>
      </w:tblGrid>
      <w:tr>
        <w:trPr>
          <w:tblHeader w:val="on"/>
        </w:trPr>
        <w:tc>
          <w:tcPr/>
          <w:p>
            <w:pPr>
              <w:pStyle w:val="Compact"/>
              <w:jc w:val="left"/>
            </w:pPr>
            <w:r>
              <w:rPr>
                <w:b/>
                <w:bCs/>
              </w:rPr>
              <w:t xml:space="preserve">Región</w:t>
            </w:r>
          </w:p>
        </w:tc>
        <w:tc>
          <w:tcPr/>
          <w:p>
            <w:pPr>
              <w:pStyle w:val="Compact"/>
              <w:jc w:val="left"/>
            </w:pPr>
            <w:r>
              <w:rPr>
                <w:b/>
                <w:bCs/>
              </w:rPr>
              <w:t xml:space="preserve">Macrozona</w:t>
            </w:r>
          </w:p>
        </w:tc>
        <w:tc>
          <w:tcPr/>
          <w:p>
            <w:pPr>
              <w:pStyle w:val="Compact"/>
              <w:jc w:val="center"/>
            </w:pPr>
            <w:r>
              <w:rPr>
                <w:b/>
                <w:bCs/>
              </w:rPr>
              <w:t xml:space="preserve">p-valor</w:t>
            </w:r>
          </w:p>
        </w:tc>
        <w:tc>
          <w:tcPr/>
          <w:p>
            <w:pPr>
              <w:pStyle w:val="Compact"/>
              <w:jc w:val="center"/>
            </w:pPr>
            <w:r>
              <w:rPr>
                <w:b/>
                <w:bCs/>
              </w:rPr>
              <w:t xml:space="preserve">p-FDR</w:t>
            </w:r>
          </w:p>
        </w:tc>
        <w:tc>
          <w:tcPr/>
          <w:p>
            <w:pPr>
              <w:pStyle w:val="Compact"/>
              <w:jc w:val="center"/>
            </w:pPr>
            <w:r>
              <w:rPr>
                <w:b/>
                <w:bCs/>
              </w:rPr>
              <w:t xml:space="preserve">Quiebre estimado</w:t>
            </w:r>
          </w:p>
        </w:tc>
      </w:tr>
      <w:tr>
        <w:tc>
          <w:tcPr/>
          <w:p>
            <w:pPr>
              <w:pStyle w:val="Compact"/>
              <w:jc w:val="left"/>
            </w:pPr>
            <w:r>
              <w:t xml:space="preserve">R15 — Arica y Parinacota</w:t>
            </w:r>
          </w:p>
        </w:tc>
        <w:tc>
          <w:tcPr/>
          <w:p>
            <w:pPr>
              <w:pStyle w:val="Compact"/>
              <w:jc w:val="left"/>
            </w:pPr>
            <w:r>
              <w:t xml:space="preserve">Norte</w:t>
            </w:r>
          </w:p>
        </w:tc>
        <w:tc>
          <w:tcPr/>
          <w:p>
            <w:pPr>
              <w:pStyle w:val="Compact"/>
              <w:jc w:val="center"/>
            </w:pPr>
            <m:oMath>
              <m:r>
                <m:rPr>
                  <m:sty m:val="p"/>
                </m:rPr>
                <m:t>&lt;</m:t>
              </m:r>
            </m:oMath>
            <w:r>
              <w:t xml:space="preserve">.001</w:t>
            </w:r>
          </w:p>
        </w:tc>
        <w:tc>
          <w:tcPr/>
          <w:p>
            <w:pPr>
              <w:pStyle w:val="Compact"/>
              <w:jc w:val="center"/>
            </w:pPr>
            <m:oMath>
              <m:r>
                <m:rPr>
                  <m:sty m:val="p"/>
                </m:rPr>
                <m:t>&lt;</m:t>
              </m:r>
            </m:oMath>
            <w:r>
              <w:t xml:space="preserve">.001</w:t>
            </w:r>
          </w:p>
        </w:tc>
        <w:tc>
          <w:tcPr/>
          <w:p>
            <w:pPr>
              <w:pStyle w:val="Compact"/>
              <w:jc w:val="center"/>
            </w:pPr>
            <w:r>
              <w:t xml:space="preserve">Jul. 2021</w:t>
            </w:r>
          </w:p>
        </w:tc>
      </w:tr>
      <w:tr>
        <w:tc>
          <w:tcPr/>
          <w:p>
            <w:pPr>
              <w:pStyle w:val="Compact"/>
              <w:jc w:val="left"/>
            </w:pPr>
            <w:r>
              <w:t xml:space="preserve">R8 — Biobío</w:t>
            </w:r>
          </w:p>
        </w:tc>
        <w:tc>
          <w:tcPr/>
          <w:p>
            <w:pPr>
              <w:pStyle w:val="Compact"/>
              <w:jc w:val="left"/>
            </w:pPr>
            <w:r>
              <w:t xml:space="preserve">Sur</w:t>
            </w:r>
          </w:p>
        </w:tc>
        <w:tc>
          <w:tcPr/>
          <w:p>
            <w:pPr>
              <w:pStyle w:val="Compact"/>
              <w:jc w:val="center"/>
            </w:pPr>
            <m:oMath>
              <m:r>
                <m:rPr>
                  <m:sty m:val="p"/>
                </m:rPr>
                <m:t>&lt;</m:t>
              </m:r>
            </m:oMath>
            <w:r>
              <w:t xml:space="preserve">.001</w:t>
            </w:r>
          </w:p>
        </w:tc>
        <w:tc>
          <w:tcPr/>
          <w:p>
            <w:pPr>
              <w:pStyle w:val="Compact"/>
              <w:jc w:val="center"/>
            </w:pPr>
            <m:oMath>
              <m:r>
                <m:rPr>
                  <m:sty m:val="p"/>
                </m:rPr>
                <m:t>&lt;</m:t>
              </m:r>
            </m:oMath>
            <w:r>
              <w:t xml:space="preserve">.001</w:t>
            </w:r>
          </w:p>
        </w:tc>
        <w:tc>
          <w:tcPr/>
          <w:p>
            <w:pPr>
              <w:pStyle w:val="Compact"/>
              <w:jc w:val="center"/>
            </w:pPr>
            <w:r>
              <w:t xml:space="preserve">Ago. 2018</w:t>
            </w:r>
          </w:p>
        </w:tc>
      </w:tr>
      <w:tr>
        <w:tc>
          <w:tcPr/>
          <w:p>
            <w:pPr>
              <w:pStyle w:val="Compact"/>
              <w:jc w:val="left"/>
            </w:pPr>
            <w:r>
              <w:t xml:space="preserve">R9 — La Araucanía</w:t>
            </w:r>
          </w:p>
        </w:tc>
        <w:tc>
          <w:tcPr/>
          <w:p>
            <w:pPr>
              <w:pStyle w:val="Compact"/>
              <w:jc w:val="left"/>
            </w:pPr>
            <w:r>
              <w:t xml:space="preserve">Sur</w:t>
            </w:r>
          </w:p>
        </w:tc>
        <w:tc>
          <w:tcPr/>
          <w:p>
            <w:pPr>
              <w:pStyle w:val="Compact"/>
              <w:jc w:val="center"/>
            </w:pPr>
            <m:oMath>
              <m:r>
                <m:rPr>
                  <m:sty m:val="p"/>
                </m:rPr>
                <m:t>&lt;</m:t>
              </m:r>
            </m:oMath>
            <w:r>
              <w:t xml:space="preserve">.001</w:t>
            </w:r>
          </w:p>
        </w:tc>
        <w:tc>
          <w:tcPr/>
          <w:p>
            <w:pPr>
              <w:pStyle w:val="Compact"/>
              <w:jc w:val="center"/>
            </w:pPr>
            <m:oMath>
              <m:r>
                <m:rPr>
                  <m:sty m:val="p"/>
                </m:rPr>
                <m:t>&lt;</m:t>
              </m:r>
            </m:oMath>
            <w:r>
              <w:t xml:space="preserve">.001</w:t>
            </w:r>
          </w:p>
        </w:tc>
        <w:tc>
          <w:tcPr/>
          <w:p>
            <w:pPr>
              <w:pStyle w:val="Compact"/>
              <w:jc w:val="center"/>
            </w:pPr>
            <w:r>
              <w:t xml:space="preserve">Jul. 2018</w:t>
            </w:r>
          </w:p>
        </w:tc>
      </w:tr>
      <w:tr>
        <w:tc>
          <w:tcPr/>
          <w:p>
            <w:pPr>
              <w:pStyle w:val="Compact"/>
              <w:jc w:val="left"/>
            </w:pPr>
            <w:r>
              <w:t xml:space="preserve">R7 — Maule</w:t>
            </w:r>
          </w:p>
        </w:tc>
        <w:tc>
          <w:tcPr/>
          <w:p>
            <w:pPr>
              <w:pStyle w:val="Compact"/>
              <w:jc w:val="left"/>
            </w:pPr>
            <w:r>
              <w:t xml:space="preserve">Centro</w:t>
            </w:r>
          </w:p>
        </w:tc>
        <w:tc>
          <w:tcPr/>
          <w:p>
            <w:pPr>
              <w:pStyle w:val="Compact"/>
              <w:jc w:val="center"/>
            </w:pPr>
            <m:oMath>
              <m:r>
                <m:rPr>
                  <m:sty m:val="p"/>
                </m:rPr>
                <m:t>&lt;</m:t>
              </m:r>
            </m:oMath>
            <w:r>
              <w:t xml:space="preserve">.001</w:t>
            </w:r>
          </w:p>
        </w:tc>
        <w:tc>
          <w:tcPr/>
          <w:p>
            <w:pPr>
              <w:pStyle w:val="Compact"/>
              <w:jc w:val="center"/>
            </w:pPr>
            <m:oMath>
              <m:r>
                <m:rPr>
                  <m:sty m:val="p"/>
                </m:rPr>
                <m:t>&lt;</m:t>
              </m:r>
            </m:oMath>
            <w:r>
              <w:t xml:space="preserve">.001</w:t>
            </w:r>
          </w:p>
        </w:tc>
        <w:tc>
          <w:tcPr/>
          <w:p>
            <w:pPr>
              <w:pStyle w:val="Compact"/>
              <w:jc w:val="center"/>
            </w:pPr>
            <w:r>
              <w:t xml:space="preserve">Abr. 2017</w:t>
            </w:r>
          </w:p>
        </w:tc>
      </w:tr>
      <w:tr>
        <w:tc>
          <w:tcPr/>
          <w:p>
            <w:pPr>
              <w:pStyle w:val="Compact"/>
              <w:jc w:val="left"/>
            </w:pPr>
            <w:r>
              <w:t xml:space="preserve">R3 — Atacama</w:t>
            </w:r>
          </w:p>
        </w:tc>
        <w:tc>
          <w:tcPr/>
          <w:p>
            <w:pPr>
              <w:pStyle w:val="Compact"/>
              <w:jc w:val="left"/>
            </w:pPr>
            <w:r>
              <w:t xml:space="preserve">Norte</w:t>
            </w:r>
          </w:p>
        </w:tc>
        <w:tc>
          <w:tcPr/>
          <w:p>
            <w:pPr>
              <w:pStyle w:val="Compact"/>
              <w:jc w:val="center"/>
            </w:pPr>
            <m:oMath>
              <m:r>
                <m:rPr>
                  <m:sty m:val="p"/>
                </m:rPr>
                <m:t>&lt;</m:t>
              </m:r>
            </m:oMath>
            <w:r>
              <w:t xml:space="preserve">.001</w:t>
            </w:r>
          </w:p>
        </w:tc>
        <w:tc>
          <w:tcPr/>
          <w:p>
            <w:pPr>
              <w:pStyle w:val="Compact"/>
              <w:jc w:val="center"/>
            </w:pPr>
            <m:oMath>
              <m:r>
                <m:rPr>
                  <m:sty m:val="p"/>
                </m:rPr>
                <m:t>&lt;</m:t>
              </m:r>
            </m:oMath>
            <w:r>
              <w:t xml:space="preserve">.001</w:t>
            </w:r>
          </w:p>
        </w:tc>
        <w:tc>
          <w:tcPr/>
          <w:p>
            <w:pPr>
              <w:pStyle w:val="Compact"/>
              <w:jc w:val="center"/>
            </w:pPr>
            <w:r>
              <w:t xml:space="preserve">Ago. 2021</w:t>
            </w:r>
          </w:p>
        </w:tc>
      </w:tr>
      <w:tr>
        <w:tc>
          <w:tcPr/>
          <w:p>
            <w:pPr>
              <w:pStyle w:val="Compact"/>
              <w:jc w:val="left"/>
            </w:pPr>
            <w:r>
              <w:t xml:space="preserve">R6 — O’Higgins</w:t>
            </w:r>
          </w:p>
        </w:tc>
        <w:tc>
          <w:tcPr/>
          <w:p>
            <w:pPr>
              <w:pStyle w:val="Compact"/>
              <w:jc w:val="left"/>
            </w:pPr>
            <w:r>
              <w:t xml:space="preserve">Centro</w:t>
            </w:r>
          </w:p>
        </w:tc>
        <w:tc>
          <w:tcPr/>
          <w:p>
            <w:pPr>
              <w:pStyle w:val="Compact"/>
              <w:jc w:val="center"/>
            </w:pPr>
            <m:oMath>
              <m:r>
                <m:rPr>
                  <m:sty m:val="p"/>
                </m:rPr>
                <m:t>&lt;</m:t>
              </m:r>
            </m:oMath>
            <w:r>
              <w:t xml:space="preserve">.001</w:t>
            </w:r>
          </w:p>
        </w:tc>
        <w:tc>
          <w:tcPr/>
          <w:p>
            <w:pPr>
              <w:pStyle w:val="Compact"/>
              <w:jc w:val="center"/>
            </w:pPr>
            <m:oMath>
              <m:r>
                <m:rPr>
                  <m:sty m:val="p"/>
                </m:rPr>
                <m:t>&lt;</m:t>
              </m:r>
            </m:oMath>
            <w:r>
              <w:t xml:space="preserve">.001</w:t>
            </w:r>
          </w:p>
        </w:tc>
        <w:tc>
          <w:tcPr/>
          <w:p>
            <w:pPr>
              <w:pStyle w:val="Compact"/>
              <w:jc w:val="center"/>
            </w:pPr>
            <w:r>
              <w:t xml:space="preserve">Sep. 2021</w:t>
            </w:r>
          </w:p>
        </w:tc>
      </w:tr>
      <w:tr>
        <w:tc>
          <w:tcPr/>
          <w:p>
            <w:pPr>
              <w:pStyle w:val="Compact"/>
              <w:jc w:val="left"/>
            </w:pPr>
            <w:r>
              <w:t xml:space="preserve">R13 — Metropolitana</w:t>
            </w:r>
          </w:p>
        </w:tc>
        <w:tc>
          <w:tcPr/>
          <w:p>
            <w:pPr>
              <w:pStyle w:val="Compact"/>
              <w:jc w:val="left"/>
            </w:pPr>
            <w:r>
              <w:t xml:space="preserve">RM</w:t>
            </w:r>
          </w:p>
        </w:tc>
        <w:tc>
          <w:tcPr/>
          <w:p>
            <w:pPr>
              <w:pStyle w:val="Compact"/>
              <w:jc w:val="center"/>
            </w:pPr>
            <m:oMath>
              <m:r>
                <m:rPr>
                  <m:sty m:val="p"/>
                </m:rPr>
                <m:t>&lt;</m:t>
              </m:r>
            </m:oMath>
            <w:r>
              <w:t xml:space="preserve">.001</w:t>
            </w:r>
          </w:p>
        </w:tc>
        <w:tc>
          <w:tcPr/>
          <w:p>
            <w:pPr>
              <w:pStyle w:val="Compact"/>
              <w:jc w:val="center"/>
            </w:pPr>
            <m:oMath>
              <m:r>
                <m:rPr>
                  <m:sty m:val="p"/>
                </m:rPr>
                <m:t>&lt;</m:t>
              </m:r>
            </m:oMath>
            <w:r>
              <w:t xml:space="preserve">.001</w:t>
            </w:r>
          </w:p>
        </w:tc>
        <w:tc>
          <w:tcPr/>
          <w:p>
            <w:pPr>
              <w:pStyle w:val="Compact"/>
              <w:jc w:val="center"/>
            </w:pPr>
            <w:r>
              <w:t xml:space="preserve">Jul. 2020</w:t>
            </w:r>
          </w:p>
        </w:tc>
      </w:tr>
      <w:tr>
        <w:tc>
          <w:tcPr/>
          <w:p>
            <w:pPr>
              <w:pStyle w:val="Compact"/>
              <w:jc w:val="left"/>
            </w:pPr>
            <w:r>
              <w:t xml:space="preserve">R11 — Aysén</w:t>
            </w:r>
          </w:p>
        </w:tc>
        <w:tc>
          <w:tcPr/>
          <w:p>
            <w:pPr>
              <w:pStyle w:val="Compact"/>
              <w:jc w:val="left"/>
            </w:pPr>
            <w:r>
              <w:t xml:space="preserve">Austral</w:t>
            </w:r>
          </w:p>
        </w:tc>
        <w:tc>
          <w:tcPr/>
          <w:p>
            <w:pPr>
              <w:pStyle w:val="Compact"/>
              <w:jc w:val="center"/>
            </w:pPr>
            <w:r>
              <w:t xml:space="preserve">,</w:t>
            </w:r>
            <w:r>
              <w:t xml:space="preserve">001</w:t>
            </w:r>
          </w:p>
        </w:tc>
        <w:tc>
          <w:tcPr/>
          <w:p>
            <w:pPr>
              <w:pStyle w:val="Compact"/>
              <w:jc w:val="center"/>
            </w:pPr>
            <w:r>
              <w:t xml:space="preserve">,</w:t>
            </w:r>
            <w:r>
              <w:t xml:space="preserve">001</w:t>
            </w:r>
          </w:p>
        </w:tc>
        <w:tc>
          <w:tcPr/>
          <w:p>
            <w:pPr>
              <w:pStyle w:val="Compact"/>
              <w:jc w:val="center"/>
            </w:pPr>
            <w:r>
              <w:t xml:space="preserve">Feb. 2016</w:t>
            </w:r>
          </w:p>
        </w:tc>
      </w:tr>
      <w:tr>
        <w:tc>
          <w:tcPr/>
          <w:p>
            <w:pPr>
              <w:pStyle w:val="Compact"/>
              <w:jc w:val="left"/>
            </w:pPr>
            <w:r>
              <w:t xml:space="preserve">R12 — Magallanes</w:t>
            </w:r>
          </w:p>
        </w:tc>
        <w:tc>
          <w:tcPr/>
          <w:p>
            <w:pPr>
              <w:pStyle w:val="Compact"/>
              <w:jc w:val="left"/>
            </w:pPr>
            <w:r>
              <w:t xml:space="preserve">Austral</w:t>
            </w:r>
          </w:p>
        </w:tc>
        <w:tc>
          <w:tcPr/>
          <w:p>
            <w:pPr>
              <w:pStyle w:val="Compact"/>
              <w:jc w:val="center"/>
            </w:pPr>
            <w:r>
              <w:t xml:space="preserve">,</w:t>
            </w:r>
            <w:r>
              <w:t xml:space="preserve">001</w:t>
            </w:r>
          </w:p>
        </w:tc>
        <w:tc>
          <w:tcPr/>
          <w:p>
            <w:pPr>
              <w:pStyle w:val="Compact"/>
              <w:jc w:val="center"/>
            </w:pPr>
            <w:r>
              <w:t xml:space="preserve">,</w:t>
            </w:r>
            <w:r>
              <w:t xml:space="preserve">003</w:t>
            </w:r>
          </w:p>
        </w:tc>
        <w:tc>
          <w:tcPr/>
          <w:p>
            <w:pPr>
              <w:pStyle w:val="Compact"/>
              <w:jc w:val="center"/>
            </w:pPr>
            <w:r>
              <w:t xml:space="preserve">Ago. 2017</w:t>
            </w:r>
          </w:p>
        </w:tc>
      </w:tr>
      <w:tr>
        <w:tc>
          <w:tcPr/>
          <w:p>
            <w:pPr>
              <w:pStyle w:val="Compact"/>
              <w:jc w:val="left"/>
            </w:pPr>
            <w:r>
              <w:t xml:space="preserve">R1 — Tarapacá</w:t>
            </w:r>
          </w:p>
        </w:tc>
        <w:tc>
          <w:tcPr/>
          <w:p>
            <w:pPr>
              <w:pStyle w:val="Compact"/>
              <w:jc w:val="left"/>
            </w:pPr>
            <w:r>
              <w:t xml:space="preserve">Norte</w:t>
            </w:r>
          </w:p>
        </w:tc>
        <w:tc>
          <w:tcPr/>
          <w:p>
            <w:pPr>
              <w:pStyle w:val="Compact"/>
              <w:jc w:val="center"/>
            </w:pPr>
            <w:r>
              <w:t xml:space="preserve">,</w:t>
            </w:r>
            <w:r>
              <w:t xml:space="preserve">003</w:t>
            </w:r>
          </w:p>
        </w:tc>
        <w:tc>
          <w:tcPr/>
          <w:p>
            <w:pPr>
              <w:pStyle w:val="Compact"/>
              <w:jc w:val="center"/>
            </w:pPr>
            <w:r>
              <w:t xml:space="preserve">,</w:t>
            </w:r>
            <w:r>
              <w:t xml:space="preserve">005</w:t>
            </w:r>
          </w:p>
        </w:tc>
        <w:tc>
          <w:tcPr/>
          <w:p>
            <w:pPr>
              <w:pStyle w:val="Compact"/>
              <w:jc w:val="center"/>
            </w:pPr>
            <w:r>
              <w:t xml:space="preserve">Ago. 2023</w:t>
            </w:r>
          </w:p>
        </w:tc>
      </w:tr>
      <w:tr>
        <w:tc>
          <w:tcPr/>
          <w:p>
            <w:pPr>
              <w:pStyle w:val="Compact"/>
              <w:jc w:val="left"/>
            </w:pPr>
            <w:r>
              <w:t xml:space="preserve">R4 — Coquimbo</w:t>
            </w:r>
          </w:p>
        </w:tc>
        <w:tc>
          <w:tcPr/>
          <w:p>
            <w:pPr>
              <w:pStyle w:val="Compact"/>
              <w:jc w:val="left"/>
            </w:pPr>
            <w:r>
              <w:t xml:space="preserve">Norte</w:t>
            </w:r>
          </w:p>
        </w:tc>
        <w:tc>
          <w:tcPr/>
          <w:p>
            <w:pPr>
              <w:pStyle w:val="Compact"/>
              <w:jc w:val="center"/>
            </w:pPr>
            <w:r>
              <w:t xml:space="preserve">,</w:t>
            </w:r>
            <w:r>
              <w:t xml:space="preserve">006</w:t>
            </w:r>
          </w:p>
        </w:tc>
        <w:tc>
          <w:tcPr/>
          <w:p>
            <w:pPr>
              <w:pStyle w:val="Compact"/>
              <w:jc w:val="center"/>
            </w:pPr>
            <w:r>
              <w:t xml:space="preserve">,</w:t>
            </w:r>
            <w:r>
              <w:t xml:space="preserve">009</w:t>
            </w:r>
          </w:p>
        </w:tc>
        <w:tc>
          <w:tcPr/>
          <w:p>
            <w:pPr>
              <w:pStyle w:val="Compact"/>
              <w:jc w:val="center"/>
            </w:pPr>
            <w:r>
              <w:t xml:space="preserve">Sep. 2021</w:t>
            </w:r>
          </w:p>
        </w:tc>
      </w:tr>
      <w:tr>
        <w:tc>
          <w:tcPr/>
          <w:p>
            <w:pPr>
              <w:pStyle w:val="Compact"/>
              <w:jc w:val="left"/>
            </w:pPr>
            <w:r>
              <w:t xml:space="preserve">R16 — Ñuble</w:t>
            </w:r>
          </w:p>
        </w:tc>
        <w:tc>
          <w:tcPr/>
          <w:p>
            <w:pPr>
              <w:pStyle w:val="Compact"/>
              <w:jc w:val="left"/>
            </w:pPr>
            <w:r>
              <w:t xml:space="preserve">Sur</w:t>
            </w:r>
          </w:p>
        </w:tc>
        <w:tc>
          <w:tcPr/>
          <w:p>
            <w:pPr>
              <w:pStyle w:val="Compact"/>
              <w:jc w:val="center"/>
            </w:pPr>
            <w:r>
              <w:t xml:space="preserve">,</w:t>
            </w:r>
            <w:r>
              <w:t xml:space="preserve">016</w:t>
            </w:r>
          </w:p>
        </w:tc>
        <w:tc>
          <w:tcPr/>
          <w:p>
            <w:pPr>
              <w:pStyle w:val="Compact"/>
              <w:jc w:val="center"/>
            </w:pPr>
            <w:r>
              <w:t xml:space="preserve">,</w:t>
            </w:r>
            <w:r>
              <w:t xml:space="preserve">022</w:t>
            </w:r>
          </w:p>
        </w:tc>
        <w:tc>
          <w:tcPr/>
          <w:p>
            <w:pPr>
              <w:pStyle w:val="Compact"/>
              <w:jc w:val="center"/>
            </w:pPr>
            <w:r>
              <w:t xml:space="preserve">Ago. 2021</w:t>
            </w:r>
          </w:p>
        </w:tc>
      </w:tr>
      <w:tr>
        <w:tc>
          <w:tcPr/>
          <w:p>
            <w:pPr>
              <w:pStyle w:val="Compact"/>
              <w:jc w:val="left"/>
            </w:pPr>
            <w:r>
              <w:t xml:space="preserve">R2 — Antofagasta</w:t>
            </w:r>
          </w:p>
        </w:tc>
        <w:tc>
          <w:tcPr/>
          <w:p>
            <w:pPr>
              <w:pStyle w:val="Compact"/>
              <w:jc w:val="left"/>
            </w:pPr>
            <w:r>
              <w:t xml:space="preserve">Norte</w:t>
            </w:r>
          </w:p>
        </w:tc>
        <w:tc>
          <w:tcPr/>
          <w:p>
            <w:pPr>
              <w:pStyle w:val="Compact"/>
              <w:jc w:val="center"/>
            </w:pPr>
            <w:r>
              <w:t xml:space="preserve">,</w:t>
            </w:r>
            <w:r>
              <w:t xml:space="preserve">194</w:t>
            </w:r>
          </w:p>
        </w:tc>
        <w:tc>
          <w:tcPr/>
          <w:p>
            <w:pPr>
              <w:pStyle w:val="Compact"/>
              <w:jc w:val="center"/>
            </w:pPr>
            <w:r>
              <w:t xml:space="preserve">,</w:t>
            </w:r>
            <w:r>
              <w:t xml:space="preserve">207</w:t>
            </w:r>
          </w:p>
        </w:tc>
        <w:tc>
          <w:tcPr/>
          <w:p>
            <w:pPr>
              <w:pStyle w:val="Compact"/>
              <w:jc w:val="center"/>
            </w:pPr>
            <w:r>
              <w:t xml:space="preserve">(n.s.)</w:t>
            </w:r>
          </w:p>
        </w:tc>
      </w:tr>
      <w:tr>
        <w:tc>
          <w:tcPr/>
          <w:p>
            <w:pPr>
              <w:pStyle w:val="Compact"/>
              <w:jc w:val="left"/>
            </w:pPr>
            <w:r>
              <w:t xml:space="preserve">R5 — Valparaíso</w:t>
            </w:r>
          </w:p>
        </w:tc>
        <w:tc>
          <w:tcPr/>
          <w:p>
            <w:pPr>
              <w:pStyle w:val="Compact"/>
              <w:jc w:val="left"/>
            </w:pPr>
            <w:r>
              <w:t xml:space="preserve">Centro</w:t>
            </w:r>
          </w:p>
        </w:tc>
        <w:tc>
          <w:tcPr/>
          <w:p>
            <w:pPr>
              <w:pStyle w:val="Compact"/>
              <w:jc w:val="center"/>
            </w:pPr>
            <w:r>
              <w:t xml:space="preserve">,</w:t>
            </w:r>
            <w:r>
              <w:t xml:space="preserve">334</w:t>
            </w:r>
          </w:p>
        </w:tc>
        <w:tc>
          <w:tcPr/>
          <w:p>
            <w:pPr>
              <w:pStyle w:val="Compact"/>
              <w:jc w:val="center"/>
            </w:pPr>
            <w:r>
              <w:t xml:space="preserve">,</w:t>
            </w:r>
            <w:r>
              <w:t xml:space="preserve">334</w:t>
            </w:r>
          </w:p>
        </w:tc>
        <w:tc>
          <w:tcPr/>
          <w:p>
            <w:pPr>
              <w:pStyle w:val="Compact"/>
              <w:jc w:val="center"/>
            </w:pPr>
            <w:r>
              <w:t xml:space="preserve">(n.s.)</w:t>
            </w:r>
          </w:p>
        </w:tc>
      </w:tr>
      <w:tr>
        <w:tc>
          <w:tcPr/>
          <w:p>
            <w:pPr>
              <w:pStyle w:val="Compact"/>
              <w:jc w:val="left"/>
            </w:pPr>
            <w:r>
              <w:t xml:space="preserve">R10 — Los Lagos</w:t>
            </w:r>
          </w:p>
        </w:tc>
        <w:tc>
          <w:tcPr/>
          <w:p>
            <w:pPr>
              <w:pStyle w:val="Compact"/>
              <w:jc w:val="left"/>
            </w:pPr>
            <w:r>
              <w:t xml:space="preserve">Sur</w:t>
            </w:r>
          </w:p>
        </w:tc>
        <w:tc>
          <w:tcPr/>
          <w:p>
            <w:pPr>
              <w:pStyle w:val="Compact"/>
              <w:jc w:val="center"/>
            </w:pPr>
            <w:r>
              <w:t xml:space="preserve">,</w:t>
            </w:r>
            <w:r>
              <w:t xml:space="preserve">176</w:t>
            </w:r>
          </w:p>
        </w:tc>
        <w:tc>
          <w:tcPr/>
          <w:p>
            <w:pPr>
              <w:pStyle w:val="Compact"/>
              <w:jc w:val="center"/>
            </w:pPr>
            <w:r>
              <w:t xml:space="preserve">,</w:t>
            </w:r>
            <w:r>
              <w:t xml:space="preserve">201</w:t>
            </w:r>
          </w:p>
        </w:tc>
        <w:tc>
          <w:tcPr/>
          <w:p>
            <w:pPr>
              <w:pStyle w:val="Compact"/>
              <w:jc w:val="center"/>
            </w:pPr>
            <w:r>
              <w:t xml:space="preserve">(n.s.)</w:t>
            </w:r>
          </w:p>
        </w:tc>
      </w:tr>
      <w:tr>
        <w:tc>
          <w:tcPr/>
          <w:p>
            <w:pPr>
              <w:pStyle w:val="Compact"/>
              <w:jc w:val="left"/>
            </w:pPr>
            <w:r>
              <w:t xml:space="preserve">R14 — Los Ríos</w:t>
            </w:r>
          </w:p>
        </w:tc>
        <w:tc>
          <w:tcPr/>
          <w:p>
            <w:pPr>
              <w:pStyle w:val="Compact"/>
              <w:jc w:val="left"/>
            </w:pPr>
            <w:r>
              <w:t xml:space="preserve">Sur</w:t>
            </w:r>
          </w:p>
        </w:tc>
        <w:tc>
          <w:tcPr/>
          <w:p>
            <w:pPr>
              <w:pStyle w:val="Compact"/>
              <w:jc w:val="center"/>
            </w:pPr>
            <w:r>
              <w:t xml:space="preserve">,</w:t>
            </w:r>
            <w:r>
              <w:t xml:space="preserve">144</w:t>
            </w:r>
          </w:p>
        </w:tc>
        <w:tc>
          <w:tcPr/>
          <w:p>
            <w:pPr>
              <w:pStyle w:val="Compact"/>
              <w:jc w:val="center"/>
            </w:pPr>
            <w:r>
              <w:t xml:space="preserve">,</w:t>
            </w:r>
            <w:r>
              <w:t xml:space="preserve">177</w:t>
            </w:r>
          </w:p>
        </w:tc>
        <w:tc>
          <w:tcPr/>
          <w:p>
            <w:pPr>
              <w:pStyle w:val="Compact"/>
              <w:jc w:val="center"/>
            </w:pPr>
            <w:r>
              <w:t xml:space="preserve">(n.s.)</w:t>
            </w:r>
          </w:p>
        </w:tc>
      </w:tr>
    </w:tbl>
    <w:bookmarkEnd w:id="50"/>
    <w:p>
      <w:pPr>
        <w:pStyle w:val="BodyText"/>
      </w:pPr>
      <w:r>
        <w:rPr>
          <w:i/>
          <w:iCs/>
        </w:rPr>
        <w:t xml:space="preserve">Nota:</w:t>
      </w:r>
      <w:r>
        <w:t xml:space="preserve"> </w:t>
      </w:r>
      <w:r>
        <w:t xml:space="preserve">Test supremo de puente browniano sobre el proceso empírico de fluctuación</w:t>
      </w:r>
      <w:r>
        <w:t xml:space="preserve"> </w:t>
      </w:r>
      <w:r>
        <w:t xml:space="preserve">del GLM regional. p-FDR: corrección Benjamini-Hochberg sobre los 16 p-valores. El</w:t>
      </w:r>
      <w:r>
        <w:t xml:space="preserve"> </w:t>
      </w:r>
      <w:r>
        <w:t xml:space="preserve">quiebre estimado corresponde al mes de mayor acumulación del estadístico</w:t>
      </w:r>
      <w:r>
        <w:t xml:space="preserve"> </w:t>
      </w:r>
      <w:r>
        <w:rPr>
          <w:i/>
          <w:iCs/>
        </w:rPr>
        <w:t xml:space="preserve">CUSUM</w:t>
      </w:r>
      <w:r>
        <w:t xml:space="preserve">.</w:t>
      </w:r>
    </w:p>
    <w:p>
      <w:pPr>
        <w:pStyle w:val="BodyText"/>
      </w:pPr>
      <w:r>
        <w:t xml:space="preserve">La trayectoria acumulada del residuo en cada región muestra cómo el proceso</w:t>
      </w:r>
      <w:r>
        <w:t xml:space="preserve"> </w:t>
      </w:r>
      <w:r>
        <w:t xml:space="preserve">supera los límites críticos al 95% en momentos distintos, evidenciando la</w:t>
      </w:r>
      <w:r>
        <w:t xml:space="preserve"> </w:t>
      </w:r>
      <w:r>
        <w:t xml:space="preserve">ausencia de un shock nacional sincrónico (Figura </w:t>
      </w:r>
      <w:hyperlink w:anchor="fig:cusum">
        <w:r>
          <w:rPr>
            <w:rStyle w:val="Hyperlink"/>
          </w:rPr>
          <w:t xml:space="preserve">5</w:t>
        </w:r>
      </w:hyperlink>
      <w:r>
        <w:t xml:space="preserve">). Esta</w:t>
      </w:r>
      <w:r>
        <w:t xml:space="preserve"> </w:t>
      </w:r>
      <w:r>
        <w:t xml:space="preserve">heterogeneidad temporal tiene también una expresión espacial coherente: los</w:t>
      </w:r>
      <w:r>
        <w:t xml:space="preserve"> </w:t>
      </w:r>
      <w:r>
        <w:t xml:space="preserve">quiebres pre-pandemia se concentran en el sur—regiones que hoy muestran</w:t>
      </w:r>
      <w:r>
        <w:t xml:space="preserve"> </w:t>
      </w:r>
      <w:r>
        <w:t xml:space="preserve">log-ratio negativo respecto de la línea base—, mientras los quiebres tardios</w:t>
      </w:r>
      <w:r>
        <w:t xml:space="preserve"> </w:t>
      </w:r>
      <w:r>
        <w:t xml:space="preserve">del norte coinciden con los mayores incrementos relativos documentados en la</w:t>
      </w:r>
      <w:r>
        <w:t xml:space="preserve"> </w:t>
      </w:r>
      <w:r>
        <w:t xml:space="preserve">Figura </w:t>
      </w:r>
      <w:hyperlink w:anchor="fig:mapatasa">
        <w:r>
          <w:rPr>
            <w:rStyle w:val="Hyperlink"/>
          </w:rPr>
          <w:t xml:space="preserve">4</w:t>
        </w:r>
      </w:hyperlink>
      <w:r>
        <w:t xml:space="preserve">.</w:t>
      </w:r>
    </w:p>
    <w:bookmarkStart w:id="54" w:name="fig:cusum"/>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2000250"/>
                  <wp:effectExtent b="0" l="0" r="0" t="0"/>
                  <wp:docPr descr="" title="" id="52" name="Picture"/>
                  <a:graphic>
                    <a:graphicData uri="http://schemas.openxmlformats.org/drawingml/2006/picture">
                      <pic:pic>
                        <pic:nvPicPr>
                          <pic:cNvPr descr="fig4_cusum_regional_facet.pdf" id="53" name="Picture"/>
                          <pic:cNvPicPr>
                            <a:picLocks noChangeArrowheads="1" noChangeAspect="1"/>
                          </pic:cNvPicPr>
                        </pic:nvPicPr>
                        <pic:blipFill>
                          <a:blip r:embed="rId51"/>
                          <a:stretch>
                            <a:fillRect/>
                          </a:stretch>
                        </pic:blipFill>
                        <pic:spPr bwMode="auto">
                          <a:xfrm>
                            <a:off x="0" y="0"/>
                            <a:ext cx="2667000" cy="2000250"/>
                          </a:xfrm>
                          <a:prstGeom prst="rect">
                            <a:avLst/>
                          </a:prstGeom>
                          <a:noFill/>
                          <a:ln w="9525">
                            <a:noFill/>
                            <a:headEnd/>
                            <a:tailEnd/>
                          </a:ln>
                        </pic:spPr>
                      </pic:pic>
                    </a:graphicData>
                  </a:graphic>
                </wp:inline>
              </w:drawing>
            </w:r>
          </w:p>
        </w:tc>
        <w:tc>
          <w:tcPr/>
          <w:p>
            <w:pPr>
              <w:jc w:val="center"/>
            </w:pPr>
            <w:r>
              <w:rPr>
                <w:i/>
                <w:iCs/>
              </w:rPr>
              <w:t xml:space="preserve">Nota:</w:t>
            </w:r>
            <w:r>
              <w:t xml:space="preserve"> </w:t>
            </w:r>
            <w:r>
              <w:t xml:space="preserve">Las bandas corresponden a los límites críticos al 95% del proceso</w:t>
            </w:r>
            <w:r>
              <w:t xml:space="preserve"> </w:t>
            </w:r>
            <w:r>
              <w:t xml:space="preserve">de puente browniano. Regiones con quiebre significativo (p-FDR &lt; 0</w:t>
            </w:r>
            <w:r>
              <w:t xml:space="preserve">,</w:t>
            </w:r>
            <w:r>
              <w:t xml:space="preserve">05) se</w:t>
            </w:r>
            <w:r>
              <w:t xml:space="preserve"> </w:t>
            </w:r>
            <w:r>
              <w:t xml:space="preserve">destacan en rojo. Fuente:</w:t>
            </w:r>
            <w:r>
              <w:t xml:space="preserve"> </w:t>
            </w:r>
            <w:r>
              <w:t xml:space="preserve">Instituto Nacional de Estadísticas (2026)</w:t>
            </w:r>
            <w:r>
              <w:t xml:space="preserve">; SERMIG; proyecciones INE Base 2017.</w:t>
            </w:r>
          </w:p>
        </w:tc>
      </w:tr>
    </w:tbl>
    <w:p>
      <w:pPr>
        <w:pStyle w:val="ImageCaption"/>
      </w:pPr>
      <w:r>
        <w:t xml:space="preserve">Procesos</w:t>
      </w:r>
      <w:r>
        <w:t xml:space="preserve"> </w:t>
      </w:r>
      <w:r>
        <w:rPr>
          <w:i/>
          <w:iCs/>
        </w:rPr>
        <w:t xml:space="preserve">CUSUM</w:t>
      </w:r>
      <w:r>
        <w:t xml:space="preserve">-GLM para las 16 regiones (robos violentos, C3.1).</w:t>
      </w:r>
    </w:p>
    <w:bookmarkEnd w:id="54"/>
    <w:p>
      <w:pPr>
        <w:pStyle w:val="BodyText"/>
      </w:pPr>
      <w:r>
        <w:t xml:space="preserve">El modelo de interacciones macrozona</w:t>
      </w:r>
      <w:r>
        <w:t xml:space="preserve"> </w:t>
      </w:r>
      <m:oMath>
        <m:r>
          <m:rPr>
            <m:sty m:val="p"/>
          </m:rPr>
          <m:t>×</m:t>
        </m:r>
      </m:oMath>
      <w:r>
        <w:t xml:space="preserve"> </w:t>
      </w:r>
      <w:r>
        <w:t xml:space="preserve">spline (Apéndice </w:t>
      </w:r>
      <w:hyperlink w:anchor="ap:macro">
        <w:r>
          <w:rPr>
            <w:rStyle w:val="Hyperlink"/>
          </w:rPr>
          <w:t xml:space="preserve">9</w:t>
        </w:r>
      </w:hyperlink>
      <w:r>
        <w:t xml:space="preserve">) revela que la tendencia de largo plazo difiere significativamente entre zonas geográficas (test de Wald conjunto:</w:t>
      </w:r>
      <w:r>
        <w:t xml:space="preserve"> </w:t>
      </w:r>
      <m:oMath>
        <m:r>
          <m:t>p</m:t>
        </m:r>
        <m:r>
          <m:rPr>
            <m:sty m:val="p"/>
          </m:rPr>
          <m:t>&lt;</m:t>
        </m:r>
        <m:r>
          <m:t>0</m:t>
        </m:r>
        <m:r>
          <m:rPr>
            <m:sty m:val="p"/>
          </m:rPr>
          <m:t>,</m:t>
        </m:r>
        <m:r>
          <m:t>001</m:t>
        </m:r>
      </m:oMath>
      <w:r>
        <w:t xml:space="preserve">). En el primer tramo (Spline 1, 2013–2016), la Región Metropolitana exhibe el mayor crecimiento relativo (IRR = 2</w:t>
      </w:r>
      <w:r>
        <w:t xml:space="preserve">,</w:t>
      </w:r>
      <w:r>
        <w:t xml:space="preserve">68 respecto de Austral), seguida por la macrozona Centro (IRR = 1</w:t>
      </w:r>
      <w:r>
        <w:t xml:space="preserve">,</w:t>
      </w:r>
      <w:r>
        <w:t xml:space="preserve">82). En el Spline 2 (2016–2019), la macrozona Norte lidera con el IRR más elevado (3</w:t>
      </w:r>
      <w:r>
        <w:t xml:space="preserve">,</w:t>
      </w:r>
      <w:r>
        <w:t xml:space="preserve">94), coherente con la presión migratoria acumulada y el quiebre</w:t>
      </w:r>
      <w:r>
        <w:t xml:space="preserve"> </w:t>
      </w:r>
      <w:r>
        <w:rPr>
          <w:i/>
          <w:iCs/>
        </w:rPr>
        <w:t xml:space="preserve">CUSUM</w:t>
      </w:r>
      <w:r>
        <w:t xml:space="preserve"> </w:t>
      </w:r>
      <w:r>
        <w:t xml:space="preserve">identificado en Arica y Parinacota (julio de 2021, con un rezago que sugiere acumulación latente). En el Spline 3 (2019–2022), el Centro alcanza su mayor dinamismo (IRR = 3</w:t>
      </w:r>
      <w:r>
        <w:t xml:space="preserve">,</w:t>
      </w:r>
      <w:r>
        <w:t xml:space="preserve">57). En el Spline 4 (2022–2025), sin embargo, todas las interacciones convergen hacia la unidad—Norte: IRR = 1</w:t>
      </w:r>
      <w:r>
        <w:t xml:space="preserve">,</w:t>
      </w:r>
      <w:r>
        <w:t xml:space="preserve">08; Centro: 1</w:t>
      </w:r>
      <w:r>
        <w:t xml:space="preserve">,</w:t>
      </w:r>
      <w:r>
        <w:t xml:space="preserve">37; Sur: 1</w:t>
      </w:r>
      <w:r>
        <w:t xml:space="preserve">,</w:t>
      </w:r>
      <w:r>
        <w:t xml:space="preserve">00—lo que indica que la inflexión descendente reciente es un fenómeno de alcance nacional y no un artefacto de ninguna zona en particular.</w:t>
      </w:r>
    </w:p>
    <w:bookmarkEnd w:id="55"/>
    <w:bookmarkStart w:id="57" w:name="sub:placebos"/>
    <w:p>
      <w:pPr>
        <w:pStyle w:val="Heading2"/>
      </w:pPr>
      <w:r>
        <w:t xml:space="preserve">Pruebas de falsificación</w:t>
      </w:r>
    </w:p>
    <w:p>
      <w:pPr>
        <w:pStyle w:val="FirstParagraph"/>
      </w:pPr>
      <w:r>
        <w:t xml:space="preserve">Cuatro modelos de validación proveen evidencia convergente sobre la especificidad y</w:t>
      </w:r>
      <w:r>
        <w:t xml:space="preserve"> </w:t>
      </w:r>
      <w:r>
        <w:t xml:space="preserve">potencia del modelo principal (Tabla </w:t>
      </w:r>
      <w:hyperlink w:anchor="tab:placebos">
        <w:r>
          <w:rPr>
            <w:rStyle w:val="Hyperlink"/>
          </w:rPr>
          <w:t xml:space="preserve">6</w:t>
        </w:r>
      </w:hyperlink>
      <w:r>
        <w:t xml:space="preserve">).</w:t>
      </w:r>
    </w:p>
    <w:p>
      <w:pPr>
        <w:pStyle w:val="BodyText"/>
      </w:pPr>
      <w:r>
        <w:t xml:space="preserve">El placebo negativo (P1, cuasidelito vehicular) refleja la reactivación de la</w:t>
      </w:r>
      <w:r>
        <w:t xml:space="preserve"> </w:t>
      </w:r>
      <w:r>
        <w:t xml:space="preserve">actividad vial post-pandemia: todos sus tramos del spline son positivos y significativos,</w:t>
      </w:r>
      <w:r>
        <w:t xml:space="preserve"> </w:t>
      </w:r>
      <w:r>
        <w:t xml:space="preserve">con el Spline 4 mostrando IRR = 2</w:t>
      </w:r>
      <w:r>
        <w:t xml:space="preserve">,</w:t>
      </w:r>
      <w:r>
        <w:t xml:space="preserve">036 (</w:t>
      </w:r>
      <m:oMath>
        <m:r>
          <m:t>p</m:t>
        </m:r>
        <m:r>
          <m:rPr>
            <m:sty m:val="p"/>
          </m:rPr>
          <m:t>&lt;</m:t>
        </m:r>
        <m:r>
          <m:t>0</m:t>
        </m:r>
        <m:r>
          <m:rPr>
            <m:sty m:val="p"/>
          </m:rPr>
          <m:t>,</m:t>
        </m:r>
        <m:r>
          <m:t>001</m:t>
        </m:r>
      </m:oMath>
      <w:r>
        <w:t xml:space="preserve">). El mismo modelo que detectó</w:t>
      </w:r>
      <w:r>
        <w:t xml:space="preserve"> </w:t>
      </w:r>
      <w:r>
        <w:t xml:space="preserve">inflexión negativa en robos violentos captura aquí un crecimiento pronunciado. Esto</w:t>
      </w:r>
      <w:r>
        <w:t xml:space="preserve"> </w:t>
      </w:r>
      <w:r>
        <w:t xml:space="preserve">descarta la posibilidad de que la especificación subvalore sistemáticamente la</w:t>
      </w:r>
      <w:r>
        <w:t xml:space="preserve"> </w:t>
      </w:r>
      <w:r>
        <w:t xml:space="preserve">actividad en el período más reciente: el resultado negativo del Spline 4 en robos</w:t>
      </w:r>
      <w:r>
        <w:t xml:space="preserve"> </w:t>
      </w:r>
      <w:r>
        <w:t xml:space="preserve">violentos no responde a un problema de especificación del modelo.</w:t>
      </w:r>
    </w:p>
    <w:p>
      <w:pPr>
        <w:pStyle w:val="BodyText"/>
      </w:pPr>
      <w:r>
        <w:t xml:space="preserve">El placebo positivo (P2, homicidios dolosos CCH) ofrece la contraprueba directa: si la violencia real</w:t>
      </w:r>
      <w:r>
        <w:t xml:space="preserve"> </w:t>
      </w:r>
      <w:r>
        <w:t xml:space="preserve">está aumentando, el modelo debe detectarlo. Y así ocurre. Los</w:t>
      </w:r>
      <w:r>
        <w:t xml:space="preserve"> </w:t>
      </w:r>
      <w:r>
        <w:t xml:space="preserve">Splines 2 y 3 registran IRR = 2</w:t>
      </w:r>
      <w:r>
        <w:t xml:space="preserve">,</w:t>
      </w:r>
      <w:r>
        <w:t xml:space="preserve">746 y 3</w:t>
      </w:r>
      <w:r>
        <w:t xml:space="preserve">,</w:t>
      </w:r>
      <w:r>
        <w:t xml:space="preserve">612 (</w:t>
      </w:r>
      <m:oMath>
        <m:r>
          <m:t>p</m:t>
        </m:r>
        <m:r>
          <m:rPr>
            <m:sty m:val="p"/>
          </m:rPr>
          <m:t>&lt;</m:t>
        </m:r>
        <m:r>
          <m:t>0</m:t>
        </m:r>
        <m:r>
          <m:rPr>
            <m:sty m:val="p"/>
          </m:rPr>
          <m:t>,</m:t>
        </m:r>
        <m:r>
          <m:t>001</m:t>
        </m:r>
      </m:oMath>
      <w:r>
        <w:t xml:space="preserve"> </w:t>
      </w:r>
      <w:r>
        <w:t xml:space="preserve">en ambos), capturando el</w:t>
      </w:r>
      <w:r>
        <w:t xml:space="preserve"> </w:t>
      </w:r>
      <w:r>
        <w:t xml:space="preserve">aumento real de los homicidios entre 2016 y 2022. En el Spline 4, los homicidios</w:t>
      </w:r>
      <w:r>
        <w:t xml:space="preserve"> </w:t>
      </w:r>
      <w:r>
        <w:t xml:space="preserve">arrojan IRR = 2</w:t>
      </w:r>
      <w:r>
        <w:t xml:space="preserve">,</w:t>
      </w:r>
      <w:r>
        <w:t xml:space="preserve">061 (</w:t>
      </w:r>
      <m:oMath>
        <m:r>
          <m:t>p</m:t>
        </m:r>
        <m:r>
          <m:rPr>
            <m:sty m:val="p"/>
          </m:rPr>
          <m:t>&lt;</m:t>
        </m:r>
        <m:r>
          <m:t>0</m:t>
        </m:r>
        <m:r>
          <m:rPr>
            <m:sty m:val="p"/>
          </m:rPr>
          <m:t>,</m:t>
        </m:r>
        <m:r>
          <m:t>001</m:t>
        </m:r>
      </m:oMath>
      <w:r>
        <w:t xml:space="preserve">)—aún en territorio de crecimiento, a diferencia</w:t>
      </w:r>
      <w:r>
        <w:t xml:space="preserve"> </w:t>
      </w:r>
      <w:r>
        <w:t xml:space="preserve">de los robos violentos que muestran inflexión descendente. Esta divergencia entre</w:t>
      </w:r>
      <w:r>
        <w:t xml:space="preserve"> </w:t>
      </w:r>
      <w:r>
        <w:t xml:space="preserve">homicidios (crecientes en Spline 4) y robos violentos (decrecientes) no puede atribuirse</w:t>
      </w:r>
      <w:r>
        <w:t xml:space="preserve"> </w:t>
      </w:r>
      <w:r>
        <w:t xml:space="preserve">a un problema de especificación: el modelo detecta de manera diferencial dinámicas</w:t>
      </w:r>
      <w:r>
        <w:t xml:space="preserve"> </w:t>
      </w:r>
      <w:r>
        <w:t xml:space="preserve">opuestas, lo que valida su capacidad discriminante. Adicionalmente, la triangulación de los homicidios a nivel de macrozonas revela que esta alza letal no es espacialmente simétrica ni sincrónica. Mientras que la macrozona Austral no exhibe un quiebre significativo en su serie, la macrozona Norte experimentó el aumento más agudo y temprano durante el período 2016–2019 (Spline 2: IRR = 2</w:t>
      </w:r>
      <w:r>
        <w:t xml:space="preserve">,</w:t>
      </w:r>
      <w:r>
        <w:t xml:space="preserve">25,</w:t>
      </w:r>
      <w:r>
        <w:t xml:space="preserve"> </w:t>
      </w:r>
      <m:oMath>
        <m:r>
          <m:t>p</m:t>
        </m:r>
        <m:r>
          <m:rPr>
            <m:sty m:val="p"/>
          </m:rPr>
          <m:t>&lt;</m:t>
        </m:r>
        <m:r>
          <m:t>0</m:t>
        </m:r>
        <m:r>
          <m:rPr>
            <m:sty m:val="p"/>
          </m:rPr>
          <m:t>,</m:t>
        </m:r>
        <m:r>
          <m:t>001</m:t>
        </m:r>
      </m:oMath>
      <w:r>
        <w:t xml:space="preserve">). En contraste, las macrozonas Centro, RM y Sur muestran una trayectoria de crecimiento sostenido prolongada, alcanzando su mayor velocidad de expansión relativa entre 2019 y 2022 (Spline 3 con coeficientes IRR superiores a 2</w:t>
      </w:r>
      <w:r>
        <w:t xml:space="preserve">,</w:t>
      </w:r>
      <w:r>
        <w:t xml:space="preserve">65). Esto indica que, mientras los robos violentos retroceden nacionalmente tras la pandemia, el recrudecimiento de la letalidad tuvo anclajes y cronologías regionales diferenciadas.</w:t>
      </w:r>
    </w:p>
    <w:p>
      <w:pPr>
        <w:pStyle w:val="BodyText"/>
      </w:pPr>
      <w:r>
        <w:t xml:space="preserve">Un segundo placebo positivo (P3, secuestros registrados en el CCH) ofrece</w:t>
      </w:r>
      <w:r>
        <w:t xml:space="preserve"> </w:t>
      </w:r>
      <w:r>
        <w:t xml:space="preserve">validación complementaria. Si el crimen organizado coercitivo se expandió en</w:t>
      </w:r>
      <w:r>
        <w:t xml:space="preserve"> </w:t>
      </w:r>
      <w:r>
        <w:t xml:space="preserve">el período 2022–2025, el modelo debe registrar crecimiento en los secuestros.</w:t>
      </w:r>
      <w:r>
        <w:t xml:space="preserve"> </w:t>
      </w:r>
      <w:r>
        <w:t xml:space="preserve">El Spline 4 para secuestros arroja IRR = 1</w:t>
      </w:r>
      <w:r>
        <w:t xml:space="preserve">,</w:t>
      </w:r>
      <w:r>
        <w:t xml:space="preserve">553 (</w:t>
      </w:r>
      <m:oMath>
        <m:r>
          <m:t>p</m:t>
        </m:r>
        <m:r>
          <m:rPr>
            <m:sty m:val="p"/>
          </m:rPr>
          <m:t>&lt;</m:t>
        </m:r>
        <m:r>
          <m:t>0</m:t>
        </m:r>
        <m:r>
          <m:rPr>
            <m:sty m:val="p"/>
          </m:rPr>
          <m:t>,</m:t>
        </m:r>
        <m:r>
          <m:t>001</m:t>
        </m:r>
      </m:oMath>
      <w:r>
        <w:t xml:space="preserve">), el coeficiente más</w:t>
      </w:r>
      <w:r>
        <w:t xml:space="preserve"> </w:t>
      </w:r>
      <w:r>
        <w:t xml:space="preserve">elevado entre todos los placebos en el período reciente, y refuerza la</w:t>
      </w:r>
      <w:r>
        <w:t xml:space="preserve"> </w:t>
      </w:r>
      <w:r>
        <w:t xml:space="preserve">interpretación de que el crimen organizado coercitivo sí se expandió en dicho</w:t>
      </w:r>
      <w:r>
        <w:t xml:space="preserve"> </w:t>
      </w:r>
      <w:r>
        <w:t xml:space="preserve">período. La coexistencia de una inflexión descendente en robos violentos totales</w:t>
      </w:r>
      <w:r>
        <w:t xml:space="preserve"> </w:t>
      </w:r>
      <w:r>
        <w:t xml:space="preserve">(IRR = 0</w:t>
      </w:r>
      <w:r>
        <w:t xml:space="preserve">,</w:t>
      </w:r>
      <w:r>
        <w:t xml:space="preserve">868) con un crecimiento pronunciado en secuestros (IRR = 1</w:t>
      </w:r>
      <w:r>
        <w:t xml:space="preserve">,</w:t>
      </w:r>
      <w:r>
        <w:t xml:space="preserve">553) confirma</w:t>
      </w:r>
      <w:r>
        <w:t xml:space="preserve"> </w:t>
      </w:r>
      <w:r>
        <w:t xml:space="preserve">que el modelo discrimina entre distintas formas de violencia: el descenso del</w:t>
      </w:r>
      <w:r>
        <w:t xml:space="preserve"> </w:t>
      </w:r>
      <w:r>
        <w:t xml:space="preserve">volumen agregado no impide detectar fenómenos emergentes de alta lesividad.</w:t>
      </w:r>
    </w:p>
    <w:p>
      <w:pPr>
        <w:pStyle w:val="BodyText"/>
      </w:pPr>
      <w:r>
        <w:t xml:space="preserve">La triangulación con los homicidios confirmados del CPHDV provee el punto de</w:t>
      </w:r>
      <w:r>
        <w:t xml:space="preserve"> </w:t>
      </w:r>
      <w:r>
        <w:t xml:space="preserve">comparación más robusto frente a la cifra negra. Los registros anuales muestran un</w:t>
      </w:r>
      <w:r>
        <w:t xml:space="preserve"> </w:t>
      </w:r>
      <w:r>
        <w:t xml:space="preserve">crecimiento desde aproximadamente 900 homicidios confirmados en 2018 hasta un máximo</w:t>
      </w:r>
      <w:r>
        <w:t xml:space="preserve"> </w:t>
      </w:r>
      <w:r>
        <w:t xml:space="preserve">de 1</w:t>
      </w:r>
      <w:r>
        <w:t xml:space="preserve">,</w:t>
      </w:r>
      <w:r>
        <w:t xml:space="preserve">330 en 2022, seguido de un descenso sostenido: 1</w:t>
      </w:r>
      <w:r>
        <w:t xml:space="preserve">,</w:t>
      </w:r>
      <w:r>
        <w:t xml:space="preserve">249 en 2023, 1</w:t>
      </w:r>
      <w:r>
        <w:t xml:space="preserve">,</w:t>
      </w:r>
      <w:r>
        <w:t xml:space="preserve">209 en 2024 y</w:t>
      </w:r>
      <w:r>
        <w:t xml:space="preserve"> </w:t>
      </w:r>
      <w:r>
        <w:t xml:space="preserve">1</w:t>
      </w:r>
      <w:r>
        <w:t xml:space="preserve">,</w:t>
      </w:r>
      <w:r>
        <w:t xml:space="preserve">091 en 2025. El Spline 4 para el CPHDV no es estadísticamente significativo</w:t>
      </w:r>
      <w:r>
        <w:t xml:space="preserve"> </w:t>
      </w:r>
      <w:r>
        <w:t xml:space="preserve">(IRR = 1</w:t>
      </w:r>
      <w:r>
        <w:t xml:space="preserve">,</w:t>
      </w:r>
      <w:r>
        <w:t xml:space="preserve">075,</w:t>
      </w:r>
      <w:r>
        <w:t xml:space="preserve"> </w:t>
      </w:r>
      <m:oMath>
        <m:r>
          <m:t>p</m:t>
        </m:r>
        <m:r>
          <m:rPr>
            <m:sty m:val="p"/>
          </m:rPr>
          <m:t>=</m:t>
        </m:r>
        <m:r>
          <m:t>0</m:t>
        </m:r>
        <m:r>
          <m:rPr>
            <m:sty m:val="p"/>
          </m:rPr>
          <m:t>,</m:t>
        </m:r>
        <m:r>
          <m:t>530</m:t>
        </m:r>
      </m:oMath>
      <w:r>
        <w:t xml:space="preserve">), indicando que el crecimiento de la violencia letal se</w:t>
      </w:r>
      <w:r>
        <w:t xml:space="preserve"> </w:t>
      </w:r>
      <w:r>
        <w:t xml:space="preserve">desaceleró en el período más reciente. La moderación paralela en homicidios</w:t>
      </w:r>
      <w:r>
        <w:t xml:space="preserve"> </w:t>
      </w:r>
      <w:r>
        <w:t xml:space="preserve">confirmados y en robos violentos traza un cuadro coherente: ambos indicadores apuntan</w:t>
      </w:r>
      <w:r>
        <w:t xml:space="preserve"> </w:t>
      </w:r>
      <w:r>
        <w:t xml:space="preserve">a un techo alcanzado en torno a 2022 y una desaceleración posterior.</w:t>
      </w:r>
    </w:p>
    <w:p>
      <w:pPr>
        <w:pStyle w:val="BodyText"/>
      </w:pPr>
      <w:r>
        <w:t xml:space="preserve">max width=</w:t>
      </w:r>
    </w:p>
    <w:bookmarkStart w:id="56" w:name="tab:placebos"/>
    <w:p>
      <w:pPr>
        <w:pStyle w:val="TableCaption"/>
      </w:pPr>
      <w:r>
        <w:t xml:space="preserve">Placebos y validación externa: modelos Poisson-QMLE</w:t>
      </w:r>
    </w:p>
    <w:tbl>
      <w:tblPr>
        <w:tblStyle w:val="Table"/>
        <w:tblW w:type="auto" w:w="0"/>
        <w:tblLook w:firstRow="1" w:lastRow="0" w:firstColumn="0" w:lastColumn="0" w:noHBand="0" w:noVBand="0" w:val="0020"/>
        <w:tblCaption w:val="Placebos y validación externa: modelos Poisson-QMLE"/>
      </w:tblPr>
      <w:tblGrid>
        <w:gridCol w:w="792"/>
        <w:gridCol w:w="792"/>
        <w:gridCol w:w="792"/>
        <w:gridCol w:w="792"/>
        <w:gridCol w:w="792"/>
        <w:gridCol w:w="792"/>
        <w:gridCol w:w="792"/>
        <w:gridCol w:w="792"/>
        <w:gridCol w:w="792"/>
        <w:gridCol w:w="792"/>
      </w:tblGrid>
      <w:tr>
        <w:trPr>
          <w:tblHeader w:val="on"/>
        </w:trPr>
        <w:tc>
          <w:tcPr/>
          <w:p>
            <w:pPr>
              <w:pStyle w:val="Compact"/>
            </w:pPr>
          </w:p>
        </w:tc>
        <w:tc>
          <w:tcPr>
            <w:gridSpan w:val="3"/>
          </w:tcPr>
          <w:p>
            <w:pPr>
              <w:pStyle w:val="Compact"/>
              <w:jc w:val="center"/>
            </w:pPr>
            <w:r>
              <w:rPr>
                <w:b/>
                <w:bCs/>
              </w:rPr>
              <w:t xml:space="preserve">P1: Cuasidelito vehicular</w:t>
            </w:r>
          </w:p>
        </w:tc>
        <w:tc>
          <w:tcPr>
            <w:gridSpan w:val="2"/>
          </w:tcPr>
          <w:p>
            <w:pPr>
              <w:pStyle w:val="Compact"/>
              <w:jc w:val="center"/>
            </w:pPr>
            <w:r>
              <w:rPr>
                <w:b/>
                <w:bCs/>
              </w:rPr>
              <w:t xml:space="preserve">P2: Homicidios CCH</w:t>
            </w:r>
          </w:p>
        </w:tc>
        <w:tc>
          <w:tcPr>
            <w:gridSpan w:val="2"/>
          </w:tcPr>
          <w:p>
            <w:pPr>
              <w:pStyle w:val="Compact"/>
              <w:jc w:val="center"/>
            </w:pPr>
            <w:r>
              <w:rPr>
                <w:b/>
                <w:bCs/>
              </w:rPr>
              <w:t xml:space="preserve">P3: Secuestros</w:t>
            </w:r>
          </w:p>
        </w:tc>
        <w:tc>
          <w:tcPr>
            <w:gridSpan w:val="2"/>
          </w:tcPr>
          <w:p>
            <w:pPr>
              <w:pStyle w:val="Compact"/>
              <w:jc w:val="center"/>
            </w:pPr>
            <w:r>
              <w:rPr>
                <w:b/>
                <w:bCs/>
              </w:rPr>
              <w:t xml:space="preserve">CPHDV (confirmados)</w:t>
            </w:r>
          </w:p>
        </w:tc>
      </w:tr>
      <w:tr>
        <w:tc>
          <w:tcPr/>
          <w:p>
            <w:pPr>
              <w:pStyle w:val="Compact"/>
              <w:jc w:val="left"/>
            </w:pPr>
            <w:r>
              <w:t xml:space="preserve">2-4</w:t>
            </w:r>
            <w:r>
              <w:t xml:space="preserve">(lr)</w:t>
            </w:r>
            <w:r>
              <w:t xml:space="preserve">5-6</w:t>
            </w:r>
            <w:r>
              <w:t xml:space="preserve">(lr)</w:t>
            </w:r>
            <w:r>
              <w:t xml:space="preserve">7-8</w:t>
            </w:r>
            <w:r>
              <w:t xml:space="preserve">(lr)</w:t>
            </w:r>
            <w:r>
              <w:t xml:space="preserve">9-10</w:t>
            </w:r>
            <w:r>
              <w:t xml:space="preserve"> </w:t>
            </w:r>
            <w:r>
              <w:rPr>
                <w:b/>
                <w:bCs/>
              </w:rPr>
              <w:t xml:space="preserve">Término</w:t>
            </w:r>
          </w:p>
        </w:tc>
        <w:tc>
          <w:tcPr/>
          <w:p>
            <w:pPr>
              <w:pStyle w:val="Compact"/>
              <w:jc w:val="center"/>
            </w:pPr>
            <w:r>
              <w:t xml:space="preserve">IRR</w:t>
            </w:r>
          </w:p>
        </w:tc>
        <w:tc>
          <w:tcPr/>
          <w:p>
            <w:pPr>
              <w:pStyle w:val="Compact"/>
              <w:jc w:val="center"/>
            </w:pPr>
            <w:r>
              <w:t xml:space="preserve">IC 95%</w:t>
            </w:r>
          </w:p>
        </w:tc>
        <w:tc>
          <w:tcPr/>
          <w:p>
            <w:pPr>
              <w:pStyle w:val="Compact"/>
              <w:jc w:val="center"/>
            </w:pPr>
            <m:oMath>
              <m:r>
                <m:t>p</m:t>
              </m:r>
            </m:oMath>
          </w:p>
        </w:tc>
        <w:tc>
          <w:tcPr/>
          <w:p>
            <w:pPr>
              <w:pStyle w:val="Compact"/>
              <w:jc w:val="center"/>
            </w:pPr>
            <w:r>
              <w:t xml:space="preserve">IRR</w:t>
            </w:r>
          </w:p>
        </w:tc>
        <w:tc>
          <w:tcPr/>
          <w:p>
            <w:pPr>
              <w:pStyle w:val="Compact"/>
              <w:jc w:val="center"/>
            </w:pPr>
            <m:oMath>
              <m:r>
                <m:t>p</m:t>
              </m:r>
            </m:oMath>
          </w:p>
        </w:tc>
        <w:tc>
          <w:tcPr/>
          <w:p>
            <w:pPr>
              <w:pStyle w:val="Compact"/>
              <w:jc w:val="center"/>
            </w:pPr>
            <w:r>
              <w:t xml:space="preserve">IRR</w:t>
            </w:r>
          </w:p>
        </w:tc>
        <w:tc>
          <w:tcPr/>
          <w:p>
            <w:pPr>
              <w:pStyle w:val="Compact"/>
              <w:jc w:val="center"/>
            </w:pPr>
            <m:oMath>
              <m:r>
                <m:t>p</m:t>
              </m:r>
            </m:oMath>
          </w:p>
        </w:tc>
        <w:tc>
          <w:tcPr/>
          <w:p>
            <w:pPr>
              <w:pStyle w:val="Compact"/>
              <w:jc w:val="center"/>
            </w:pPr>
            <w:r>
              <w:t xml:space="preserve">IRR</w:t>
            </w:r>
          </w:p>
        </w:tc>
        <w:tc>
          <w:tcPr/>
          <w:p>
            <w:pPr>
              <w:pStyle w:val="Compact"/>
              <w:jc w:val="center"/>
            </w:pPr>
            <m:oMath>
              <m:r>
                <m:t>p</m:t>
              </m:r>
            </m:oMath>
          </w:p>
        </w:tc>
      </w:tr>
      <w:tr>
        <w:tc>
          <w:tcPr/>
          <w:p>
            <w:pPr>
              <w:pStyle w:val="Compact"/>
              <w:jc w:val="left"/>
            </w:pPr>
            <m:oMath>
              <m:sSup>
                <m:e>
                  <m:r>
                    <m:t>D</m:t>
                  </m:r>
                </m:e>
                <m:sup>
                  <m:r>
                    <m:rPr>
                      <m:nor/>
                      <m:sty m:val="p"/>
                    </m:rPr>
                    <m:t>est</m:t>
                  </m:r>
                </m:sup>
              </m:sSup>
            </m:oMath>
          </w:p>
        </w:tc>
        <w:tc>
          <w:tcPr/>
          <w:p>
            <w:pPr>
              <w:pStyle w:val="Compact"/>
              <w:jc w:val="center"/>
            </w:pPr>
            <w:r>
              <w:t xml:space="preserve">1</w:t>
            </w:r>
            <w:r>
              <w:t xml:space="preserve">,</w:t>
            </w:r>
            <w:r>
              <w:t xml:space="preserve">105</w:t>
            </w:r>
          </w:p>
        </w:tc>
        <w:tc>
          <w:tcPr/>
          <w:p>
            <w:pPr>
              <w:pStyle w:val="Compact"/>
              <w:jc w:val="center"/>
            </w:pPr>
            <w:r>
              <w:t xml:space="preserve">[0</w:t>
            </w:r>
            <w:r>
              <w:t xml:space="preserve">,</w:t>
            </w:r>
            <w:r>
              <w:t xml:space="preserve">989, 1</w:t>
            </w:r>
            <w:r>
              <w:t xml:space="preserve">,</w:t>
            </w:r>
            <w:r>
              <w:t xml:space="preserve">234]</w:t>
            </w:r>
          </w:p>
        </w:tc>
        <w:tc>
          <w:tcPr/>
          <w:p>
            <w:pPr>
              <w:pStyle w:val="Compact"/>
              <w:jc w:val="center"/>
            </w:pPr>
            <w:r>
              <w:t xml:space="preserve">,</w:t>
            </w:r>
            <w:r>
              <w:t xml:space="preserve">078</w:t>
            </w:r>
          </w:p>
        </w:tc>
        <w:tc>
          <w:tcPr/>
          <w:p>
            <w:pPr>
              <w:pStyle w:val="Compact"/>
              <w:jc w:val="center"/>
            </w:pPr>
            <w:r>
              <w:t xml:space="preserve">1</w:t>
            </w:r>
            <w:r>
              <w:t xml:space="preserve">,</w:t>
            </w:r>
            <w:r>
              <w:t xml:space="preserve">144</w:t>
            </w:r>
          </w:p>
        </w:tc>
        <w:tc>
          <w:tcPr/>
          <w:p>
            <w:pPr>
              <w:pStyle w:val="Compact"/>
              <w:jc w:val="center"/>
            </w:pPr>
            <w:r>
              <w:t xml:space="preserve">,</w:t>
            </w:r>
            <w:r>
              <w:t xml:space="preserve">097</w:t>
            </w:r>
          </w:p>
        </w:tc>
        <w:tc>
          <w:tcPr/>
          <w:p>
            <w:pPr>
              <w:pStyle w:val="Compact"/>
              <w:jc w:val="center"/>
            </w:pPr>
            <w:r>
              <w:t xml:space="preserve">0</w:t>
            </w:r>
            <w:r>
              <w:t xml:space="preserve">,</w:t>
            </w:r>
            <w:r>
              <w:t xml:space="preserve">869</w:t>
            </w:r>
          </w:p>
        </w:tc>
        <w:tc>
          <w:tcPr/>
          <w:p>
            <w:pPr>
              <w:pStyle w:val="Compact"/>
              <w:jc w:val="center"/>
            </w:pPr>
            <w:r>
              <w:t xml:space="preserve">,</w:t>
            </w:r>
            <w:r>
              <w:t xml:space="preserve">146</w:t>
            </w:r>
          </w:p>
        </w:tc>
        <w:tc>
          <w:tcPr/>
          <w:p>
            <w:pPr>
              <w:pStyle w:val="Compact"/>
              <w:jc w:val="center"/>
            </w:pPr>
            <w:r>
              <w:t xml:space="preserve">1</w:t>
            </w:r>
            <w:r>
              <w:t xml:space="preserve">,</w:t>
            </w:r>
            <w:r>
              <w:t xml:space="preserve">046</w:t>
            </w:r>
          </w:p>
        </w:tc>
        <w:tc>
          <w:tcPr/>
          <w:p>
            <w:pPr>
              <w:pStyle w:val="Compact"/>
              <w:jc w:val="center"/>
            </w:pPr>
            <w:r>
              <w:t xml:space="preserve">,</w:t>
            </w:r>
            <w:r>
              <w:t xml:space="preserve">763</w:t>
            </w:r>
          </w:p>
        </w:tc>
      </w:tr>
      <w:tr>
        <w:tc>
          <w:tcPr/>
          <w:p>
            <w:pPr>
              <w:pStyle w:val="Compact"/>
              <w:jc w:val="left"/>
            </w:pPr>
            <m:oMath>
              <m:sSup>
                <m:e>
                  <m:r>
                    <m:t>D</m:t>
                  </m:r>
                </m:e>
                <m:sup>
                  <m:r>
                    <m:rPr>
                      <m:nor/>
                      <m:sty m:val="p"/>
                    </m:rPr>
                    <m:t>pan</m:t>
                  </m:r>
                </m:sup>
              </m:sSup>
            </m:oMath>
          </w:p>
        </w:tc>
        <w:tc>
          <w:tcPr/>
          <w:p>
            <w:pPr>
              <w:pStyle w:val="Compact"/>
              <w:jc w:val="center"/>
            </w:pPr>
            <w:r>
              <w:t xml:space="preserve">0</w:t>
            </w:r>
            <w:r>
              <w:t xml:space="preserve">,</w:t>
            </w:r>
            <w:r>
              <w:t xml:space="preserve">874</w:t>
            </w:r>
          </w:p>
        </w:tc>
        <w:tc>
          <w:tcPr/>
          <w:p>
            <w:pPr>
              <w:pStyle w:val="Compact"/>
              <w:jc w:val="center"/>
            </w:pPr>
            <w:r>
              <w:t xml:space="preserve">[0</w:t>
            </w:r>
            <w:r>
              <w:t xml:space="preserve">,</w:t>
            </w:r>
            <w:r>
              <w:t xml:space="preserve">750, 1</w:t>
            </w:r>
            <w:r>
              <w:t xml:space="preserve">,</w:t>
            </w:r>
            <w:r>
              <w:t xml:space="preserve">020]</w:t>
            </w:r>
          </w:p>
        </w:tc>
        <w:tc>
          <w:tcPr/>
          <w:p>
            <w:pPr>
              <w:pStyle w:val="Compact"/>
              <w:jc w:val="center"/>
            </w:pPr>
            <w:r>
              <w:t xml:space="preserve">,</w:t>
            </w:r>
            <w:r>
              <w:t xml:space="preserve">087</w:t>
            </w:r>
          </w:p>
        </w:tc>
        <w:tc>
          <w:tcPr/>
          <w:p>
            <w:pPr>
              <w:pStyle w:val="Compact"/>
              <w:jc w:val="center"/>
            </w:pPr>
            <w:r>
              <w:t xml:space="preserve">1</w:t>
            </w:r>
            <w:r>
              <w:t xml:space="preserve">,</w:t>
            </w:r>
            <w:r>
              <w:t xml:space="preserve">009</w:t>
            </w:r>
          </w:p>
        </w:tc>
        <w:tc>
          <w:tcPr/>
          <w:p>
            <w:pPr>
              <w:pStyle w:val="Compact"/>
              <w:jc w:val="center"/>
            </w:pPr>
            <w:r>
              <w:t xml:space="preserve">,</w:t>
            </w:r>
            <w:r>
              <w:t xml:space="preserve">949</w:t>
            </w:r>
          </w:p>
        </w:tc>
        <w:tc>
          <w:tcPr/>
          <w:p>
            <w:pPr>
              <w:pStyle w:val="Compact"/>
              <w:jc w:val="center"/>
            </w:pPr>
            <w:r>
              <w:t xml:space="preserve">0</w:t>
            </w:r>
            <w:r>
              <w:t xml:space="preserve">,</w:t>
            </w:r>
            <w:r>
              <w:t xml:space="preserve">572</w:t>
            </w:r>
          </w:p>
        </w:tc>
        <w:tc>
          <w:tcPr/>
          <w:p>
            <w:pPr>
              <w:pStyle w:val="Compact"/>
              <w:jc w:val="center"/>
            </w:pPr>
            <m:oMath>
              <m:r>
                <m:rPr>
                  <m:sty m:val="p"/>
                </m:rPr>
                <m:t>&lt;</m:t>
              </m:r>
            </m:oMath>
            <w:r>
              <w:t xml:space="preserve">.001</w:t>
            </w:r>
          </w:p>
        </w:tc>
        <w:tc>
          <w:tcPr/>
          <w:p>
            <w:pPr>
              <w:pStyle w:val="Compact"/>
              <w:jc w:val="center"/>
            </w:pPr>
            <w:r>
              <w:t xml:space="preserve">0</w:t>
            </w:r>
            <w:r>
              <w:t xml:space="preserve">,</w:t>
            </w:r>
            <w:r>
              <w:t xml:space="preserve">871</w:t>
            </w:r>
          </w:p>
        </w:tc>
        <w:tc>
          <w:tcPr/>
          <w:p>
            <w:pPr>
              <w:pStyle w:val="Compact"/>
              <w:jc w:val="center"/>
            </w:pPr>
            <w:r>
              <w:t xml:space="preserve">,</w:t>
            </w:r>
            <w:r>
              <w:t xml:space="preserve">367</w:t>
            </w:r>
          </w:p>
        </w:tc>
      </w:tr>
      <w:tr>
        <w:tc>
          <w:tcPr/>
          <w:p>
            <w:pPr>
              <w:pStyle w:val="Compact"/>
              <w:jc w:val="left"/>
            </w:pPr>
            <w:r>
              <w:t xml:space="preserve">Spline 1</w:t>
            </w:r>
          </w:p>
        </w:tc>
        <w:tc>
          <w:tcPr/>
          <w:p>
            <w:pPr>
              <w:pStyle w:val="Compact"/>
              <w:jc w:val="center"/>
            </w:pPr>
            <w:r>
              <w:t xml:space="preserve">9</w:t>
            </w:r>
            <w:r>
              <w:t xml:space="preserve">,</w:t>
            </w:r>
            <w:r>
              <w:t xml:space="preserve">080</w:t>
            </w:r>
          </w:p>
        </w:tc>
        <w:tc>
          <w:tcPr/>
          <w:p>
            <w:pPr>
              <w:pStyle w:val="Compact"/>
              <w:jc w:val="center"/>
            </w:pPr>
            <w:r>
              <w:t xml:space="preserve">[3</w:t>
            </w:r>
            <w:r>
              <w:t xml:space="preserve">,</w:t>
            </w:r>
            <w:r>
              <w:t xml:space="preserve">09, 26</w:t>
            </w:r>
            <w:r>
              <w:t xml:space="preserve">,</w:t>
            </w:r>
            <w:r>
              <w:t xml:space="preserve">70]</w:t>
            </w:r>
          </w:p>
        </w:tc>
        <w:tc>
          <w:tcPr/>
          <w:p>
            <w:pPr>
              <w:pStyle w:val="Compact"/>
              <w:jc w:val="center"/>
            </w:pPr>
            <m:oMath>
              <m:r>
                <m:rPr>
                  <m:sty m:val="p"/>
                </m:rPr>
                <m:t>&lt;</m:t>
              </m:r>
            </m:oMath>
            <w:r>
              <w:t xml:space="preserve">.001</w:t>
            </w:r>
          </w:p>
        </w:tc>
        <w:tc>
          <w:tcPr/>
          <w:p>
            <w:pPr>
              <w:pStyle w:val="Compact"/>
              <w:jc w:val="center"/>
            </w:pPr>
            <w:r>
              <w:t xml:space="preserve">1</w:t>
            </w:r>
            <w:r>
              <w:t xml:space="preserve">,</w:t>
            </w:r>
            <w:r>
              <w:t xml:space="preserve">300</w:t>
            </w:r>
          </w:p>
        </w:tc>
        <w:tc>
          <w:tcPr/>
          <w:p>
            <w:pPr>
              <w:pStyle w:val="Compact"/>
              <w:jc w:val="center"/>
            </w:pPr>
            <w:r>
              <w:t xml:space="preserve">,</w:t>
            </w:r>
            <w:r>
              <w:t xml:space="preserve">096</w:t>
            </w:r>
          </w:p>
        </w:tc>
        <w:tc>
          <w:tcPr/>
          <w:p>
            <w:pPr>
              <w:pStyle w:val="Compact"/>
              <w:jc w:val="center"/>
            </w:pPr>
            <w:r>
              <w:t xml:space="preserve">1</w:t>
            </w:r>
            <w:r>
              <w:t xml:space="preserve">,</w:t>
            </w:r>
            <w:r>
              <w:t xml:space="preserve">338</w:t>
            </w:r>
          </w:p>
        </w:tc>
        <w:tc>
          <w:tcPr/>
          <w:p>
            <w:pPr>
              <w:pStyle w:val="Compact"/>
              <w:jc w:val="center"/>
            </w:pPr>
            <w:r>
              <w:t xml:space="preserve">,</w:t>
            </w:r>
            <w:r>
              <w:t xml:space="preserve">024</w:t>
            </w:r>
          </w:p>
        </w:tc>
        <w:tc>
          <w:tcPr/>
          <w:p>
            <w:pPr>
              <w:pStyle w:val="Compact"/>
              <w:jc w:val="center"/>
            </w:pPr>
            <w:r>
              <w:t xml:space="preserve">1</w:t>
            </w:r>
            <w:r>
              <w:t xml:space="preserve">,</w:t>
            </w:r>
            <w:r>
              <w:t xml:space="preserve">562</w:t>
            </w:r>
          </w:p>
        </w:tc>
        <w:tc>
          <w:tcPr/>
          <w:p>
            <w:pPr>
              <w:pStyle w:val="Compact"/>
              <w:jc w:val="center"/>
            </w:pPr>
            <w:r>
              <w:t xml:space="preserve">,</w:t>
            </w:r>
            <w:r>
              <w:t xml:space="preserve">001</w:t>
            </w:r>
          </w:p>
        </w:tc>
      </w:tr>
      <w:tr>
        <w:tc>
          <w:tcPr/>
          <w:p>
            <w:pPr>
              <w:pStyle w:val="Compact"/>
              <w:jc w:val="left"/>
            </w:pPr>
            <w:r>
              <w:t xml:space="preserve">Spline 2</w:t>
            </w:r>
          </w:p>
        </w:tc>
        <w:tc>
          <w:tcPr/>
          <w:p>
            <w:pPr>
              <w:pStyle w:val="Compact"/>
              <w:jc w:val="center"/>
            </w:pPr>
            <w:r>
              <w:t xml:space="preserve">3</w:t>
            </w:r>
            <w:r>
              <w:t xml:space="preserve">,</w:t>
            </w:r>
            <w:r>
              <w:t xml:space="preserve">820</w:t>
            </w:r>
          </w:p>
        </w:tc>
        <w:tc>
          <w:tcPr/>
          <w:p>
            <w:pPr>
              <w:pStyle w:val="Compact"/>
              <w:jc w:val="center"/>
            </w:pPr>
            <w:r>
              <w:t xml:space="preserve">[1</w:t>
            </w:r>
            <w:r>
              <w:t xml:space="preserve">,</w:t>
            </w:r>
            <w:r>
              <w:t xml:space="preserve">85, 7</w:t>
            </w:r>
            <w:r>
              <w:t xml:space="preserve">,</w:t>
            </w:r>
            <w:r>
              <w:t xml:space="preserve">90]</w:t>
            </w:r>
          </w:p>
        </w:tc>
        <w:tc>
          <w:tcPr/>
          <w:p>
            <w:pPr>
              <w:pStyle w:val="Compact"/>
              <w:jc w:val="center"/>
            </w:pPr>
            <m:oMath>
              <m:r>
                <m:rPr>
                  <m:sty m:val="p"/>
                </m:rPr>
                <m:t>&lt;</m:t>
              </m:r>
            </m:oMath>
            <w:r>
              <w:t xml:space="preserve">.001</w:t>
            </w:r>
          </w:p>
        </w:tc>
        <w:tc>
          <w:tcPr/>
          <w:p>
            <w:pPr>
              <w:pStyle w:val="Compact"/>
              <w:jc w:val="center"/>
            </w:pPr>
            <w:r>
              <w:t xml:space="preserve">2</w:t>
            </w:r>
            <w:r>
              <w:t xml:space="preserve">,</w:t>
            </w:r>
            <w:r>
              <w:t xml:space="preserve">746</w:t>
            </w:r>
          </w:p>
        </w:tc>
        <w:tc>
          <w:tcPr/>
          <w:p>
            <w:pPr>
              <w:pStyle w:val="Compact"/>
              <w:jc w:val="center"/>
            </w:pPr>
            <m:oMath>
              <m:r>
                <m:rPr>
                  <m:sty m:val="p"/>
                </m:rPr>
                <m:t>&lt;</m:t>
              </m:r>
            </m:oMath>
            <w:r>
              <w:t xml:space="preserve">.001</w:t>
            </w:r>
          </w:p>
        </w:tc>
        <w:tc>
          <w:tcPr/>
          <w:p>
            <w:pPr>
              <w:pStyle w:val="Compact"/>
              <w:jc w:val="center"/>
            </w:pPr>
            <w:r>
              <w:t xml:space="preserve">2</w:t>
            </w:r>
            <w:r>
              <w:t xml:space="preserve">,</w:t>
            </w:r>
            <w:r>
              <w:t xml:space="preserve">654</w:t>
            </w:r>
          </w:p>
        </w:tc>
        <w:tc>
          <w:tcPr/>
          <w:p>
            <w:pPr>
              <w:pStyle w:val="Compact"/>
              <w:jc w:val="center"/>
            </w:pPr>
            <m:oMath>
              <m:r>
                <m:rPr>
                  <m:sty m:val="p"/>
                </m:rPr>
                <m:t>&lt;</m:t>
              </m:r>
            </m:oMath>
            <w:r>
              <w:t xml:space="preserve">.001</w:t>
            </w:r>
          </w:p>
        </w:tc>
        <w:tc>
          <w:tcPr/>
          <w:p>
            <w:pPr>
              <w:pStyle w:val="Compact"/>
              <w:jc w:val="center"/>
            </w:pPr>
            <w:r>
              <w:t xml:space="preserve">1</w:t>
            </w:r>
            <w:r>
              <w:t xml:space="preserve">,</w:t>
            </w:r>
            <w:r>
              <w:t xml:space="preserve">430</w:t>
            </w:r>
          </w:p>
        </w:tc>
        <w:tc>
          <w:tcPr/>
          <w:p>
            <w:pPr>
              <w:pStyle w:val="Compact"/>
              <w:jc w:val="center"/>
            </w:pPr>
            <m:oMath>
              <m:r>
                <m:rPr>
                  <m:sty m:val="p"/>
                </m:rPr>
                <m:t>&lt;</m:t>
              </m:r>
            </m:oMath>
            <w:r>
              <w:t xml:space="preserve">.001</w:t>
            </w:r>
          </w:p>
        </w:tc>
      </w:tr>
      <w:tr>
        <w:tc>
          <w:tcPr/>
          <w:p>
            <w:pPr>
              <w:pStyle w:val="Compact"/>
              <w:jc w:val="left"/>
            </w:pPr>
            <w:r>
              <w:t xml:space="preserve">Spline 3</w:t>
            </w:r>
          </w:p>
        </w:tc>
        <w:tc>
          <w:tcPr/>
          <w:p>
            <w:pPr>
              <w:pStyle w:val="Compact"/>
              <w:jc w:val="center"/>
            </w:pPr>
            <w:r>
              <w:t xml:space="preserve">48</w:t>
            </w:r>
            <w:r>
              <w:t xml:space="preserve">,</w:t>
            </w:r>
            <w:r>
              <w:t xml:space="preserve">380</w:t>
            </w:r>
          </w:p>
        </w:tc>
        <w:tc>
          <w:tcPr/>
          <w:p>
            <w:pPr>
              <w:pStyle w:val="Compact"/>
              <w:jc w:val="center"/>
            </w:pPr>
            <w:r>
              <w:t xml:space="preserve">[6</w:t>
            </w:r>
            <w:r>
              <w:t xml:space="preserve">,</w:t>
            </w:r>
            <w:r>
              <w:t xml:space="preserve">78, 345</w:t>
            </w:r>
            <w:r>
              <w:t xml:space="preserve">,</w:t>
            </w:r>
            <w:r>
              <w:t xml:space="preserve">4]</w:t>
            </w:r>
          </w:p>
        </w:tc>
        <w:tc>
          <w:tcPr/>
          <w:p>
            <w:pPr>
              <w:pStyle w:val="Compact"/>
              <w:jc w:val="center"/>
            </w:pPr>
            <m:oMath>
              <m:r>
                <m:rPr>
                  <m:sty m:val="p"/>
                </m:rPr>
                <m:t>&lt;</m:t>
              </m:r>
            </m:oMath>
            <w:r>
              <w:t xml:space="preserve">.001</w:t>
            </w:r>
          </w:p>
        </w:tc>
        <w:tc>
          <w:tcPr/>
          <w:p>
            <w:pPr>
              <w:pStyle w:val="Compact"/>
              <w:jc w:val="center"/>
            </w:pPr>
            <w:r>
              <w:t xml:space="preserve">3</w:t>
            </w:r>
            <w:r>
              <w:t xml:space="preserve">,</w:t>
            </w:r>
            <w:r>
              <w:t xml:space="preserve">612</w:t>
            </w:r>
          </w:p>
        </w:tc>
        <w:tc>
          <w:tcPr/>
          <w:p>
            <w:pPr>
              <w:pStyle w:val="Compact"/>
              <w:jc w:val="center"/>
            </w:pPr>
            <m:oMath>
              <m:r>
                <m:rPr>
                  <m:sty m:val="p"/>
                </m:rPr>
                <m:t>&lt;</m:t>
              </m:r>
            </m:oMath>
            <w:r>
              <w:t xml:space="preserve">.001</w:t>
            </w:r>
          </w:p>
        </w:tc>
        <w:tc>
          <w:tcPr/>
          <w:p>
            <w:pPr>
              <w:pStyle w:val="Compact"/>
              <w:jc w:val="center"/>
            </w:pPr>
            <w:r>
              <w:t xml:space="preserve">1</w:t>
            </w:r>
            <w:r>
              <w:t xml:space="preserve">,</w:t>
            </w:r>
            <w:r>
              <w:t xml:space="preserve">649</w:t>
            </w:r>
          </w:p>
        </w:tc>
        <w:tc>
          <w:tcPr/>
          <w:p>
            <w:pPr>
              <w:pStyle w:val="Compact"/>
              <w:jc w:val="center"/>
            </w:pPr>
            <w:r>
              <w:t xml:space="preserve">,</w:t>
            </w:r>
            <w:r>
              <w:t xml:space="preserve">024</w:t>
            </w:r>
          </w:p>
        </w:tc>
        <w:tc>
          <w:tcPr/>
          <w:p>
            <w:pPr>
              <w:pStyle w:val="Compact"/>
              <w:jc w:val="center"/>
            </w:pPr>
            <w:r>
              <w:t xml:space="preserve">1</w:t>
            </w:r>
            <w:r>
              <w:t xml:space="preserve">,</w:t>
            </w:r>
            <w:r>
              <w:t xml:space="preserve">774</w:t>
            </w:r>
          </w:p>
        </w:tc>
        <w:tc>
          <w:tcPr/>
          <w:p>
            <w:pPr>
              <w:pStyle w:val="Compact"/>
              <w:jc w:val="center"/>
            </w:pPr>
            <w:r>
              <w:t xml:space="preserve">,</w:t>
            </w:r>
            <w:r>
              <w:t xml:space="preserve">113</w:t>
            </w:r>
          </w:p>
        </w:tc>
      </w:tr>
      <w:tr>
        <w:tc>
          <w:tcPr/>
          <w:p>
            <w:pPr>
              <w:pStyle w:val="Compact"/>
              <w:jc w:val="left"/>
            </w:pPr>
            <w:r>
              <w:rPr>
                <w:b/>
                <w:bCs/>
              </w:rPr>
              <w:t xml:space="preserve">Spline 4</w:t>
            </w:r>
          </w:p>
        </w:tc>
        <w:tc>
          <w:tcPr/>
          <w:p>
            <w:pPr>
              <w:pStyle w:val="Compact"/>
              <w:jc w:val="center"/>
            </w:pPr>
            <w:r>
              <w:rPr>
                <w:b/>
                <w:bCs/>
              </w:rPr>
              <w:t xml:space="preserve">2</w:t>
            </w:r>
            <w:r>
              <w:rPr>
                <w:b/>
                <w:bCs/>
              </w:rPr>
              <w:t xml:space="preserve">,</w:t>
            </w:r>
            <w:r>
              <w:rPr>
                <w:b/>
                <w:bCs/>
              </w:rPr>
              <w:t xml:space="preserve">036</w:t>
            </w:r>
          </w:p>
        </w:tc>
        <w:tc>
          <w:tcPr/>
          <w:p>
            <w:pPr>
              <w:pStyle w:val="Compact"/>
              <w:jc w:val="center"/>
            </w:pPr>
            <w:r>
              <w:t xml:space="preserve">[1</w:t>
            </w:r>
            <w:r>
              <w:t xml:space="preserve">,</w:t>
            </w:r>
            <w:r>
              <w:t xml:space="preserve">397, 2</w:t>
            </w:r>
            <w:r>
              <w:t xml:space="preserve">,</w:t>
            </w:r>
            <w:r>
              <w:t xml:space="preserve">969]</w:t>
            </w:r>
          </w:p>
        </w:tc>
        <w:tc>
          <w:tcPr/>
          <w:p>
            <w:pPr>
              <w:pStyle w:val="Compact"/>
              <w:jc w:val="center"/>
            </w:pPr>
            <m:oMath>
              <m:r>
                <m:rPr>
                  <m:sty m:val="p"/>
                </m:rPr>
                <m:t>&lt;</m:t>
              </m:r>
            </m:oMath>
            <w:r>
              <w:t xml:space="preserve">.001</w:t>
            </w:r>
          </w:p>
        </w:tc>
        <w:tc>
          <w:tcPr/>
          <w:p>
            <w:pPr>
              <w:pStyle w:val="Compact"/>
              <w:jc w:val="center"/>
            </w:pPr>
            <w:r>
              <w:rPr>
                <w:b/>
                <w:bCs/>
              </w:rPr>
              <w:t xml:space="preserve">2</w:t>
            </w:r>
            <w:r>
              <w:rPr>
                <w:b/>
                <w:bCs/>
              </w:rPr>
              <w:t xml:space="preserve">,</w:t>
            </w:r>
            <w:r>
              <w:rPr>
                <w:b/>
                <w:bCs/>
              </w:rPr>
              <w:t xml:space="preserve">061</w:t>
            </w:r>
          </w:p>
        </w:tc>
        <w:tc>
          <w:tcPr/>
          <w:p>
            <w:pPr>
              <w:pStyle w:val="Compact"/>
              <w:jc w:val="center"/>
            </w:pPr>
            <m:oMath>
              <m:r>
                <m:rPr>
                  <m:sty m:val="p"/>
                </m:rPr>
                <m:t>&lt;</m:t>
              </m:r>
            </m:oMath>
            <w:r>
              <w:t xml:space="preserve">.001</w:t>
            </w:r>
          </w:p>
        </w:tc>
        <w:tc>
          <w:tcPr/>
          <w:p>
            <w:pPr>
              <w:pStyle w:val="Compact"/>
              <w:jc w:val="center"/>
            </w:pPr>
            <w:r>
              <w:rPr>
                <w:b/>
                <w:bCs/>
              </w:rPr>
              <w:t xml:space="preserve">1</w:t>
            </w:r>
            <w:r>
              <w:rPr>
                <w:b/>
                <w:bCs/>
              </w:rPr>
              <w:t xml:space="preserve">,</w:t>
            </w:r>
            <w:r>
              <w:rPr>
                <w:b/>
                <w:bCs/>
              </w:rPr>
              <w:t xml:space="preserve">553</w:t>
            </w:r>
          </w:p>
        </w:tc>
        <w:tc>
          <w:tcPr/>
          <w:p>
            <w:pPr>
              <w:pStyle w:val="Compact"/>
              <w:jc w:val="center"/>
            </w:pPr>
            <m:oMath>
              <m:r>
                <m:rPr>
                  <m:sty m:val="p"/>
                </m:rPr>
                <m:t>&lt;</m:t>
              </m:r>
            </m:oMath>
            <w:r>
              <w:t xml:space="preserve">.001</w:t>
            </w:r>
          </w:p>
        </w:tc>
        <w:tc>
          <w:tcPr/>
          <w:p>
            <w:pPr>
              <w:pStyle w:val="Compact"/>
              <w:jc w:val="center"/>
            </w:pPr>
            <w:r>
              <w:t xml:space="preserve">1</w:t>
            </w:r>
            <w:r>
              <w:t xml:space="preserve">,</w:t>
            </w:r>
            <w:r>
              <w:t xml:space="preserve">075</w:t>
            </w:r>
          </w:p>
        </w:tc>
        <w:tc>
          <w:tcPr/>
          <w:p>
            <w:pPr>
              <w:pStyle w:val="Compact"/>
              <w:jc w:val="center"/>
            </w:pPr>
            <w:r>
              <w:t xml:space="preserve">,</w:t>
            </w:r>
            <w:r>
              <w:t xml:space="preserve">530</w:t>
            </w:r>
          </w:p>
        </w:tc>
      </w:tr>
    </w:tbl>
    <w:bookmarkEnd w:id="56"/>
    <w:p>
      <w:pPr>
        <w:pStyle w:val="BodyText"/>
      </w:pPr>
      <w:r>
        <w:rPr>
          <w:i/>
          <w:iCs/>
        </w:rPr>
        <w:t xml:space="preserve">Nota:</w:t>
      </w:r>
      <w:r>
        <w:t xml:space="preserve"> </w:t>
      </w:r>
      <w:r>
        <w:t xml:space="preserve">P1, P2 y P3 se estiman sobre el panel regional (16 regiones</w:t>
      </w:r>
      <w:r>
        <w:t xml:space="preserve"> </w:t>
      </w:r>
      <m:oMath>
        <m:r>
          <m:rPr>
            <m:sty m:val="p"/>
          </m:rPr>
          <m:t>×</m:t>
        </m:r>
      </m:oMath>
      <w:r>
        <w:t xml:space="preserve"> </w:t>
      </w:r>
      <w:r>
        <w:t xml:space="preserve">156 meses);</w:t>
      </w:r>
      <w:r>
        <w:t xml:space="preserve"> </w:t>
      </w:r>
      <w:r>
        <w:t xml:space="preserve">CPHDV sobre serie nacional (2018–2025, nodos propios). Los IRR grandes de P1 en</w:t>
      </w:r>
      <w:r>
        <w:t xml:space="preserve"> </w:t>
      </w:r>
      <w:r>
        <w:t xml:space="preserve">Spline 3 reflejan la normalización del tráfico post-pandemia en escala logarítmica.</w:t>
      </w:r>
      <w:r>
        <w:t xml:space="preserve"> </w:t>
      </w:r>
      <w:r>
        <w:t xml:space="preserve">Inferencia: WCB (pesos de Webb,</w:t>
      </w:r>
      <w:r>
        <w:t xml:space="preserve"> </w:t>
      </w:r>
      <m:oMath>
        <m:r>
          <m:t>B</m:t>
        </m:r>
        <m:r>
          <m:rPr>
            <m:sty m:val="p"/>
          </m:rPr>
          <m:t>=</m:t>
        </m:r>
        <m:r>
          <m:t>9</m:t>
        </m:r>
        <m:r>
          <m:rPr>
            <m:sty m:val="p"/>
          </m:rPr>
          <m:t>,</m:t>
        </m:r>
        <m:r>
          <m:t>999</m:t>
        </m:r>
      </m:oMath>
      <w:r>
        <w:t xml:space="preserve">) para P1, P2 y P3; errores QMLE estándar</w:t>
      </w:r>
      <w:r>
        <w:t xml:space="preserve"> </w:t>
      </w:r>
      <w:r>
        <w:t xml:space="preserve">para CPHDV.</w:t>
      </w:r>
    </w:p>
    <w:bookmarkEnd w:id="57"/>
    <w:bookmarkEnd w:id="58"/>
    <w:bookmarkStart w:id="61" w:name="sec:robustez"/>
    <w:p>
      <w:pPr>
        <w:pStyle w:val="Heading1"/>
      </w:pPr>
      <w:r>
        <w:t xml:space="preserve">Verificación de robustez</w:t>
      </w:r>
    </w:p>
    <w:p>
      <w:pPr>
        <w:pStyle w:val="FirstParagraph"/>
      </w:pPr>
      <w:r>
        <w:t xml:space="preserve">El resultado principal—la inflexión descendente del Spline 4 para robos</w:t>
      </w:r>
      <w:r>
        <w:t xml:space="preserve"> </w:t>
      </w:r>
      <w:r>
        <w:t xml:space="preserve">violentos (IRR = 0</w:t>
      </w:r>
      <w:r>
        <w:t xml:space="preserve">,</w:t>
      </w:r>
      <w:r>
        <w:t xml:space="preserve">868,</w:t>
      </w:r>
      <w:r>
        <w:t xml:space="preserve"> </w:t>
      </w:r>
      <m:oMath>
        <m:r>
          <m:t>p</m:t>
        </m:r>
        <m:r>
          <m:rPr>
            <m:sty m:val="p"/>
          </m:rPr>
          <m:t>=</m:t>
        </m:r>
        <m:r>
          <m:t>0</m:t>
        </m:r>
        <m:r>
          <m:rPr>
            <m:sty m:val="p"/>
          </m:rPr>
          <m:t>,</m:t>
        </m:r>
        <m:r>
          <m:t>057</m:t>
        </m:r>
      </m:oMath>
      <w:r>
        <w:t xml:space="preserve">)—se verifica bajo seis variantes de</w:t>
      </w:r>
      <w:r>
        <w:t xml:space="preserve"> </w:t>
      </w:r>
      <w:r>
        <w:t xml:space="preserve">especificación que abordan cuatro dimensiones de incertidumbre.</w:t>
      </w:r>
    </w:p>
    <w:p>
      <w:pPr>
        <w:pStyle w:val="BodyText"/>
      </w:pPr>
      <w:r>
        <w:t xml:space="preserve">La primera dimensión aborda el denominador demográfico. La especificación</w:t>
      </w:r>
      <w:r>
        <w:t xml:space="preserve"> </w:t>
      </w:r>
      <w:r>
        <w:t xml:space="preserve">R1 reemplaza el</w:t>
      </w:r>
      <w:r>
        <w:t xml:space="preserve"> </w:t>
      </w:r>
      <w:r>
        <w:rPr>
          <w:i/>
          <w:iCs/>
        </w:rPr>
        <w:t xml:space="preserve">offset</w:t>
      </w:r>
      <w:r>
        <w:t xml:space="preserve"> </w:t>
      </w:r>
      <w:r>
        <w:t xml:space="preserve">fijo por el logaritmo de la población como regresor,</w:t>
      </w:r>
      <w:r>
        <w:t xml:space="preserve"> </w:t>
      </w:r>
      <w:r>
        <w:t xml:space="preserve">relajando el supuesto de proporcionalidad exacta entre recuento y población; R3</w:t>
      </w:r>
      <w:r>
        <w:t xml:space="preserve"> </w:t>
      </w:r>
      <w:r>
        <w:t xml:space="preserve">omite la corrección migratoria SERMIG, de modo que el denominador se basa</w:t>
      </w:r>
      <w:r>
        <w:t xml:space="preserve"> </w:t>
      </w:r>
      <w:r>
        <w:t xml:space="preserve">exclusivamente en las proyecciones INE sin ajuste por flujos migratorios. R1</w:t>
      </w:r>
      <w:r>
        <w:t xml:space="preserve"> </w:t>
      </w:r>
      <w:r>
        <w:t xml:space="preserve">confirma y acentuá el resultado principal (IRR = 0</w:t>
      </w:r>
      <w:r>
        <w:t xml:space="preserve">,</w:t>
      </w:r>
      <w:r>
        <w:t xml:space="preserve">732,</w:t>
      </w:r>
      <w:r>
        <w:t xml:space="preserve"> </w:t>
      </w:r>
      <m:oMath>
        <m:r>
          <m:t>p</m:t>
        </m:r>
        <m:r>
          <m:rPr>
            <m:sty m:val="p"/>
          </m:rPr>
          <m:t>=</m:t>
        </m:r>
        <m:r>
          <m:t>0</m:t>
        </m:r>
        <m:r>
          <m:rPr>
            <m:sty m:val="p"/>
          </m:rPr>
          <m:t>,</m:t>
        </m:r>
        <m:r>
          <m:t>010</m:t>
        </m:r>
      </m:oMath>
      <w:r>
        <w:t xml:space="preserve">). R3</w:t>
      </w:r>
      <w:r>
        <w:t xml:space="preserve"> </w:t>
      </w:r>
      <w:r>
        <w:t xml:space="preserve">constituye la única excepción entre las seis especificaciones, produciendo un</w:t>
      </w:r>
      <w:r>
        <w:t xml:space="preserve"> </w:t>
      </w:r>
      <w:r>
        <w:t xml:space="preserve">coeficiente prácticamente nulo (IRR = 0</w:t>
      </w:r>
      <w:r>
        <w:t xml:space="preserve">,</w:t>
      </w:r>
      <w:r>
        <w:t xml:space="preserve">994,</w:t>
      </w:r>
      <w:r>
        <w:t xml:space="preserve"> </w:t>
      </w:r>
      <m:oMath>
        <m:r>
          <m:t>p</m:t>
        </m:r>
        <m:r>
          <m:rPr>
            <m:sty m:val="p"/>
          </m:rPr>
          <m:t>=</m:t>
        </m:r>
        <m:r>
          <m:t>0</m:t>
        </m:r>
        <m:r>
          <m:rPr>
            <m:sty m:val="p"/>
          </m:rPr>
          <m:t>,</m:t>
        </m:r>
        <m:r>
          <m:t>948</m:t>
        </m:r>
      </m:oMath>
      <w:r>
        <w:t xml:space="preserve">): al excluir los flujos</w:t>
      </w:r>
      <w:r>
        <w:t xml:space="preserve"> </w:t>
      </w:r>
      <w:r>
        <w:t xml:space="preserve">migratorios del denominador se introduce ruido en las regiones de alta</w:t>
      </w:r>
      <w:r>
        <w:t xml:space="preserve"> </w:t>
      </w:r>
      <w:r>
        <w:t xml:space="preserve">inmigración, atenuando la señal hasta la nulidad. Este resultado no contradice</w:t>
      </w:r>
      <w:r>
        <w:t xml:space="preserve"> </w:t>
      </w:r>
      <w:r>
        <w:t xml:space="preserve">la dirección del hallazgo principal, sino que evidencia la relevancia empírica</w:t>
      </w:r>
      <w:r>
        <w:t xml:space="preserve"> </w:t>
      </w:r>
      <w:r>
        <w:t xml:space="preserve">de la corrección SERMIG como pieza metodológica necesaria.</w:t>
      </w:r>
    </w:p>
    <w:p>
      <w:pPr>
        <w:pStyle w:val="BodyText"/>
      </w:pPr>
      <w:r>
        <w:t xml:space="preserve">La segunda dimensión evalúa si los resultados dependen de la parametrización</w:t>
      </w:r>
      <w:r>
        <w:t xml:space="preserve"> </w:t>
      </w:r>
      <w:r>
        <w:t xml:space="preserve">de los nodos del spline. En R5 los nodos se fijan en cuatro fechas histórico-políticas</w:t>
      </w:r>
      <w:r>
        <w:t xml:space="preserve"> </w:t>
      </w:r>
      <w:r>
        <w:t xml:space="preserve">relevantes para el período: abril de 2014 (inicio del segundo mandato de Michelle</w:t>
      </w:r>
      <w:r>
        <w:t xml:space="preserve"> </w:t>
      </w:r>
      <w:r>
        <w:t xml:space="preserve">Bachelet), abril de 2018 (inicio del segundo mandato de Sebastián Piñera),</w:t>
      </w:r>
      <w:r>
        <w:t xml:space="preserve"> </w:t>
      </w:r>
      <w:r>
        <w:t xml:space="preserve">noviembre de 2019 (estallido social) y octubre de 2021 (fin del estado de</w:t>
      </w:r>
      <w:r>
        <w:t xml:space="preserve"> </w:t>
      </w:r>
      <w:r>
        <w:t xml:space="preserve">excepción constitucional post-pandemia). Con estos cuatro nodos el spline genera</w:t>
      </w:r>
      <w:r>
        <w:t xml:space="preserve"> </w:t>
      </w:r>
      <w:r>
        <w:t xml:space="preserve">cinco tramos de tendencia; el último —noviembre de 2021 a diciembre de 2025—</w:t>
      </w:r>
      <w:r>
        <w:t xml:space="preserve"> </w:t>
      </w:r>
      <w:r>
        <w:t xml:space="preserve">es el término de comparación relevante. R5 produce IRR = 0</w:t>
      </w:r>
      <w:r>
        <w:t xml:space="preserve">,</w:t>
      </w:r>
      <w:r>
        <w:t xml:space="preserve">899 (</w:t>
      </w:r>
      <m:oMath>
        <m:r>
          <m:t>p</m:t>
        </m:r>
        <m:r>
          <m:rPr>
            <m:sty m:val="p"/>
          </m:rPr>
          <m:t>=</m:t>
        </m:r>
        <m:r>
          <m:t>0</m:t>
        </m:r>
        <m:r>
          <m:rPr>
            <m:sty m:val="p"/>
          </m:rPr>
          <m:t>,</m:t>
        </m:r>
        <m:r>
          <m:t>118</m:t>
        </m:r>
      </m:oMath>
      <w:r>
        <w:t xml:space="preserve">):</w:t>
      </w:r>
      <w:r>
        <w:t xml:space="preserve"> </w:t>
      </w:r>
      <w:r>
        <w:t xml:space="preserve">directamente consistente en signo con el resultado principal aunque sin alcanzar</w:t>
      </w:r>
      <w:r>
        <w:t xml:space="preserve"> </w:t>
      </w:r>
      <w:r>
        <w:t xml:space="preserve">significancia estadística convencional. La replicación direccional con nodos</w:t>
      </w:r>
      <w:r>
        <w:t xml:space="preserve"> </w:t>
      </w:r>
      <w:r>
        <w:t xml:space="preserve">teóricamente predefinidos confirma que la inflexión descendente no es un</w:t>
      </w:r>
      <w:r>
        <w:t xml:space="preserve"> </w:t>
      </w:r>
      <w:r>
        <w:t xml:space="preserve">efecto de la ubicación empírica de los nodos del</w:t>
      </w:r>
      <w:r>
        <w:t xml:space="preserve"> </w:t>
      </w:r>
      <w:r>
        <w:rPr>
          <w:i/>
          <w:iCs/>
        </w:rPr>
        <w:t xml:space="preserve">spline</w:t>
      </w:r>
      <w:r>
        <w:t xml:space="preserve">.</w:t>
      </w:r>
    </w:p>
    <w:p>
      <w:pPr>
        <w:pStyle w:val="BodyText"/>
      </w:pPr>
      <w:r>
        <w:t xml:space="preserve">La tercera dimensión es la variable dependiente. R6 reemplaza las denuncias</w:t>
      </w:r>
      <w:r>
        <w:t xml:space="preserve"> </w:t>
      </w:r>
      <w:r>
        <w:t xml:space="preserve">ciudadanas por las detenciones en flagrancia, que dependen de la proactividad</w:t>
      </w:r>
      <w:r>
        <w:t xml:space="preserve"> </w:t>
      </w:r>
      <w:r>
        <w:t xml:space="preserve">policial y son menos sensibles a cambios en la propensión a denunciar. R6 produce</w:t>
      </w:r>
      <w:r>
        <w:t xml:space="preserve"> </w:t>
      </w:r>
      <w:r>
        <w:t xml:space="preserve">el coeficiente más negativo de todas las especificaciones (IRR = 0</w:t>
      </w:r>
      <w:r>
        <w:t xml:space="preserve">,</w:t>
      </w:r>
      <w:r>
        <w:t xml:space="preserve">539,</w:t>
      </w:r>
      <w:r>
        <w:t xml:space="preserve"> </w:t>
      </w:r>
      <m:oMath>
        <m:r>
          <m:t>p</m:t>
        </m:r>
        <m:r>
          <m:rPr>
            <m:sty m:val="p"/>
          </m:rPr>
          <m:t>&lt;</m:t>
        </m:r>
        <m:r>
          <m:t>0</m:t>
        </m:r>
        <m:r>
          <m:rPr>
            <m:sty m:val="p"/>
          </m:rPr>
          <m:t>,</m:t>
        </m:r>
        <m:r>
          <m:t>001</m:t>
        </m:r>
      </m:oMath>
      <w:r>
        <w:t xml:space="preserve">): las detenciones cayeron en el período 2022–2025 con mayor intensidad</w:t>
      </w:r>
      <w:r>
        <w:t xml:space="preserve"> </w:t>
      </w:r>
      <w:r>
        <w:t xml:space="preserve">que las denuncias, descartando que la inflexión descendente se explique por una reducción en la propensión a denunciar.</w:t>
      </w:r>
    </w:p>
    <w:p>
      <w:pPr>
        <w:pStyle w:val="BodyText"/>
      </w:pPr>
      <w:r>
        <w:t xml:space="preserve">La cuarta dimensión aumenta la flexibilidad funcional del spline. R7 incrementa</w:t>
      </w:r>
      <w:r>
        <w:t xml:space="preserve"> </w:t>
      </w:r>
      <w:r>
        <w:t xml:space="preserve">los grados de libertad de cuatro a cinco, permitiendo una forma funcional más</w:t>
      </w:r>
      <w:r>
        <w:t xml:space="preserve"> </w:t>
      </w:r>
      <w:r>
        <w:t xml:space="preserve">adaptable. R7 replica la magnitud del resultado principal con un coeficiente</w:t>
      </w:r>
      <w:r>
        <w:t xml:space="preserve"> </w:t>
      </w:r>
      <w:r>
        <w:t xml:space="preserve">prácticamente idéntico (IRR = 0</w:t>
      </w:r>
      <w:r>
        <w:t xml:space="preserve">,</w:t>
      </w:r>
      <w:r>
        <w:t xml:space="preserve">863,</w:t>
      </w:r>
      <w:r>
        <w:t xml:space="preserve"> </w:t>
      </w:r>
      <m:oMath>
        <m:r>
          <m:t>p</m:t>
        </m:r>
        <m:r>
          <m:rPr>
            <m:sty m:val="p"/>
          </m:rPr>
          <m:t>=</m:t>
        </m:r>
        <m:r>
          <m:t>0</m:t>
        </m:r>
        <m:r>
          <m:rPr>
            <m:sty m:val="p"/>
          </m:rPr>
          <m:t>,</m:t>
        </m:r>
        <m:r>
          <m:t>068</m:t>
        </m:r>
      </m:oMath>
      <w:r>
        <w:t xml:space="preserve">), confirmando que la</w:t>
      </w:r>
      <w:r>
        <w:t xml:space="preserve"> </w:t>
      </w:r>
      <w:r>
        <w:t xml:space="preserve">inflexión descendente no es sensible al número de términos del spline. En</w:t>
      </w:r>
      <w:r>
        <w:t xml:space="preserve"> </w:t>
      </w:r>
      <w:r>
        <w:t xml:space="preserve">conjunto, cinco de las seis especificaciones producen coeficientes negativos, con</w:t>
      </w:r>
      <w:r>
        <w:t xml:space="preserve"> </w:t>
      </w:r>
      <w:r>
        <w:t xml:space="preserve">IRR que varían de 0</w:t>
      </w:r>
      <w:r>
        <w:t xml:space="preserve">,</w:t>
      </w:r>
      <w:r>
        <w:t xml:space="preserve">539 (R6) a 0</w:t>
      </w:r>
      <w:r>
        <w:t xml:space="preserve">,</w:t>
      </w:r>
      <w:r>
        <w:t xml:space="preserve">899 (R5). Las clasificaciones dicotómicas C1</w:t>
      </w:r>
      <w:r>
        <w:t xml:space="preserve"> </w:t>
      </w:r>
      <w:r>
        <w:t xml:space="preserve">y C2—reportadas en el Apéndice </w:t>
      </w:r>
      <w:hyperlink w:anchor="ap:clasif">
        <w:r>
          <w:rPr>
            <w:rStyle w:val="Hyperlink"/>
          </w:rPr>
          <w:t xml:space="preserve">8</w:t>
        </w:r>
      </w:hyperlink>
      <w:r>
        <w:t xml:space="preserve">—constituyen una quinta</w:t>
      </w:r>
      <w:r>
        <w:t xml:space="preserve"> </w:t>
      </w:r>
      <w:r>
        <w:t xml:space="preserve">dimensión de sensibilidad de clasificación: C2 replica los resultados de C3.1</w:t>
      </w:r>
      <w:r>
        <w:t xml:space="preserve"> </w:t>
      </w:r>
      <w:r>
        <w:t xml:space="preserve">(IRR = 0</w:t>
      </w:r>
      <w:r>
        <w:t xml:space="preserve">,</w:t>
      </w:r>
      <w:r>
        <w:t xml:space="preserve">868,</w:t>
      </w:r>
      <w:r>
        <w:t xml:space="preserve"> </w:t>
      </w:r>
      <m:oMath>
        <m:r>
          <m:t>p</m:t>
        </m:r>
        <m:r>
          <m:rPr>
            <m:sty m:val="p"/>
          </m:rPr>
          <m:t>=</m:t>
        </m:r>
        <m:r>
          <m:t>0</m:t>
        </m:r>
        <m:r>
          <m:rPr>
            <m:sty m:val="p"/>
          </m:rPr>
          <m:t>,</m:t>
        </m:r>
        <m:r>
          <m:t>057</m:t>
        </m:r>
      </m:oMath>
      <w:r>
        <w:t xml:space="preserve">), mientras C1 diluía la señal al incluir el lanzazo</w:t>
      </w:r>
      <w:r>
        <w:t xml:space="preserve"> </w:t>
      </w:r>
      <w:r>
        <w:t xml:space="preserve">dentro del grupo violento.</w:t>
      </w:r>
    </w:p>
    <w:p>
      <w:pPr>
        <w:pStyle w:val="BodyText"/>
      </w:pPr>
      <w:r>
        <w:t xml:space="preserve">La Tabla </w:t>
      </w:r>
      <w:hyperlink w:anchor="tab:robustez">
        <w:r>
          <w:rPr>
            <w:rStyle w:val="Hyperlink"/>
          </w:rPr>
          <w:t xml:space="preserve">7</w:t>
        </w:r>
      </w:hyperlink>
      <w:r>
        <w:t xml:space="preserve"> </w:t>
      </w:r>
      <w:r>
        <w:t xml:space="preserve">sintetiza el coeficiente e IRR del Spline 4 bajo las</w:t>
      </w:r>
      <w:r>
        <w:t xml:space="preserve"> </w:t>
      </w:r>
      <w:r>
        <w:t xml:space="preserve">seis especificaciones alternativas para robos violentos.</w:t>
      </w:r>
    </w:p>
    <w:p>
      <w:pPr>
        <w:pStyle w:val="BodyText"/>
      </w:pPr>
      <w:r>
        <w:t xml:space="preserve">max width=</w:t>
      </w:r>
    </w:p>
    <w:bookmarkStart w:id="59" w:name="tab:robustez"/>
    <w:p>
      <w:pPr>
        <w:pStyle w:val="TableCaption"/>
      </w:pPr>
      <w:r>
        <w:t xml:space="preserve">Análisis de robustez: coeficiente de tendencia bajo especificaciones</w:t>
      </w:r>
      <w:r>
        <w:t xml:space="preserve"> </w:t>
      </w:r>
      <w:r>
        <w:t xml:space="preserve">alternativas (robos violentos, C3.1)</w:t>
      </w:r>
    </w:p>
    <w:tbl>
      <w:tblPr>
        <w:tblStyle w:val="Table"/>
        <w:tblW w:type="auto" w:w="0"/>
        <w:tblLook w:firstRow="1" w:lastRow="0" w:firstColumn="0" w:lastColumn="0" w:noHBand="0" w:noVBand="0" w:val="0020"/>
        <w:tblCaption w:val="Análisis de robustez: coeficiente de tendencia bajo especificaciones alternativas (robos violentos, C3.1)"/>
      </w:tblPr>
      <w:tblGrid>
        <w:gridCol w:w="1584"/>
        <w:gridCol w:w="1584"/>
        <w:gridCol w:w="1584"/>
        <w:gridCol w:w="1584"/>
        <w:gridCol w:w="1584"/>
      </w:tblGrid>
      <w:tr>
        <w:trPr>
          <w:tblHeader w:val="on"/>
        </w:trPr>
        <w:tc>
          <w:tcPr/>
          <w:p>
            <w:pPr>
              <w:pStyle w:val="Compact"/>
              <w:jc w:val="left"/>
            </w:pPr>
            <w:r>
              <w:rPr>
                <w:b/>
                <w:bCs/>
              </w:rPr>
              <w:t xml:space="preserve">ID</w:t>
            </w:r>
          </w:p>
        </w:tc>
        <w:tc>
          <w:tcPr/>
          <w:p>
            <w:pPr>
              <w:pStyle w:val="Compact"/>
              <w:jc w:val="left"/>
            </w:pPr>
            <w:r>
              <w:rPr>
                <w:b/>
                <w:bCs/>
              </w:rPr>
              <w:t xml:space="preserve">Especificación</w:t>
            </w:r>
          </w:p>
        </w:tc>
        <w:tc>
          <w:tcPr/>
          <w:p>
            <w:pPr>
              <w:pStyle w:val="Compact"/>
              <w:jc w:val="center"/>
            </w:pPr>
            <w:r>
              <w:rPr>
                <w:b/>
                <w:bCs/>
              </w:rPr>
              <w:t xml:space="preserve">Estimador</w:t>
            </w:r>
          </w:p>
        </w:tc>
        <w:tc>
          <w:tcPr/>
          <w:p>
            <w:pPr>
              <w:pStyle w:val="Compact"/>
              <w:jc w:val="center"/>
            </w:pPr>
            <w:r>
              <w:rPr>
                <w:b/>
                <w:bCs/>
              </w:rPr>
              <w:t xml:space="preserve">IRR</w:t>
            </w:r>
          </w:p>
        </w:tc>
        <w:tc>
          <w:tcPr/>
          <w:p>
            <w:pPr>
              <w:pStyle w:val="Compact"/>
              <w:jc w:val="center"/>
            </w:pPr>
            <m:oMath>
              <m:r>
                <m:t>p</m:t>
              </m:r>
            </m:oMath>
          </w:p>
        </w:tc>
      </w:tr>
      <w:tr>
        <w:tc>
          <w:tcPr/>
          <w:p>
            <w:pPr>
              <w:pStyle w:val="Compact"/>
              <w:jc w:val="left"/>
            </w:pPr>
            <w:r>
              <w:t xml:space="preserve">Principal</w:t>
            </w:r>
          </w:p>
        </w:tc>
        <w:tc>
          <w:tcPr/>
          <w:p>
            <w:pPr>
              <w:pStyle w:val="Compact"/>
              <w:jc w:val="left"/>
            </w:pPr>
            <w:r>
              <w:t xml:space="preserve">Modelo base (spline P25/P50/P75, WCB)</w:t>
            </w:r>
          </w:p>
        </w:tc>
        <w:tc>
          <w:tcPr/>
          <w:p>
            <w:pPr>
              <w:pStyle w:val="Compact"/>
              <w:jc w:val="center"/>
            </w:pPr>
            <m:oMath>
              <m:r>
                <m:rPr>
                  <m:sty m:val="p"/>
                </m:rPr>
                <m:t>−</m:t>
              </m:r>
            </m:oMath>
            <w:r>
              <w:t xml:space="preserve">0</w:t>
            </w:r>
            <w:r>
              <w:t xml:space="preserve">,</w:t>
            </w:r>
            <w:r>
              <w:t xml:space="preserve">141</w:t>
            </w:r>
          </w:p>
        </w:tc>
        <w:tc>
          <w:tcPr/>
          <w:p>
            <w:pPr>
              <w:pStyle w:val="Compact"/>
              <w:jc w:val="center"/>
            </w:pPr>
            <w:r>
              <w:t xml:space="preserve">0</w:t>
            </w:r>
            <w:r>
              <w:t xml:space="preserve">,</w:t>
            </w:r>
            <w:r>
              <w:t xml:space="preserve">868</w:t>
            </w:r>
          </w:p>
        </w:tc>
        <w:tc>
          <w:tcPr/>
          <w:p>
            <w:pPr>
              <w:pStyle w:val="Compact"/>
              <w:jc w:val="center"/>
            </w:pPr>
            <w:r>
              <w:t xml:space="preserve">,</w:t>
            </w:r>
            <w:r>
              <w:t xml:space="preserve">057</w:t>
            </w:r>
          </w:p>
        </w:tc>
      </w:tr>
      <w:tr>
        <w:tc>
          <w:tcPr/>
          <w:p>
            <w:pPr>
              <w:pStyle w:val="Compact"/>
              <w:jc w:val="left"/>
            </w:pPr>
            <w:r>
              <w:t xml:space="preserve">R1</w:t>
            </w:r>
          </w:p>
        </w:tc>
        <w:tc>
          <w:tcPr/>
          <w:p>
            <w:pPr>
              <w:pStyle w:val="Compact"/>
              <w:jc w:val="left"/>
            </w:pPr>
            <w:r>
              <w:t xml:space="preserve">Offset libre (pob. como regresor)</w:t>
            </w:r>
          </w:p>
        </w:tc>
        <w:tc>
          <w:tcPr/>
          <w:p>
            <w:pPr>
              <w:pStyle w:val="Compact"/>
              <w:jc w:val="center"/>
            </w:pPr>
            <m:oMath>
              <m:r>
                <m:rPr>
                  <m:sty m:val="p"/>
                </m:rPr>
                <m:t>−</m:t>
              </m:r>
            </m:oMath>
            <w:r>
              <w:t xml:space="preserve">0</w:t>
            </w:r>
            <w:r>
              <w:t xml:space="preserve">,</w:t>
            </w:r>
            <w:r>
              <w:t xml:space="preserve">312</w:t>
            </w:r>
          </w:p>
        </w:tc>
        <w:tc>
          <w:tcPr/>
          <w:p>
            <w:pPr>
              <w:pStyle w:val="Compact"/>
              <w:jc w:val="center"/>
            </w:pPr>
            <w:r>
              <w:t xml:space="preserve">0</w:t>
            </w:r>
            <w:r>
              <w:t xml:space="preserve">,</w:t>
            </w:r>
            <w:r>
              <w:t xml:space="preserve">732</w:t>
            </w:r>
          </w:p>
        </w:tc>
        <w:tc>
          <w:tcPr/>
          <w:p>
            <w:pPr>
              <w:pStyle w:val="Compact"/>
              <w:jc w:val="center"/>
            </w:pPr>
            <w:r>
              <w:t xml:space="preserve">,</w:t>
            </w:r>
            <w:r>
              <w:t xml:space="preserve">010</w:t>
            </w:r>
          </w:p>
        </w:tc>
      </w:tr>
      <w:tr>
        <w:tc>
          <w:tcPr/>
          <w:p>
            <w:pPr>
              <w:pStyle w:val="Compact"/>
              <w:jc w:val="left"/>
            </w:pPr>
            <w:r>
              <w:t xml:space="preserve">R3</w:t>
            </w:r>
          </w:p>
        </w:tc>
        <w:tc>
          <w:tcPr/>
          <w:p>
            <w:pPr>
              <w:pStyle w:val="Compact"/>
              <w:jc w:val="left"/>
            </w:pPr>
            <w:r>
              <w:t xml:space="preserve">Sin corrección SERMIG</w:t>
            </w:r>
          </w:p>
        </w:tc>
        <w:tc>
          <w:tcPr/>
          <w:p>
            <w:pPr>
              <w:pStyle w:val="Compact"/>
              <w:jc w:val="center"/>
            </w:pPr>
            <m:oMath>
              <m:r>
                <m:rPr>
                  <m:sty m:val="p"/>
                </m:rPr>
                <m:t>−</m:t>
              </m:r>
            </m:oMath>
            <w:r>
              <w:t xml:space="preserve">0</w:t>
            </w:r>
            <w:r>
              <w:t xml:space="preserve">,</w:t>
            </w:r>
            <w:r>
              <w:t xml:space="preserve">006</w:t>
            </w:r>
          </w:p>
        </w:tc>
        <w:tc>
          <w:tcPr/>
          <w:p>
            <w:pPr>
              <w:pStyle w:val="Compact"/>
              <w:jc w:val="center"/>
            </w:pPr>
            <w:r>
              <w:t xml:space="preserve">0</w:t>
            </w:r>
            <w:r>
              <w:t xml:space="preserve">,</w:t>
            </w:r>
            <w:r>
              <w:t xml:space="preserve">994</w:t>
            </w:r>
          </w:p>
        </w:tc>
        <w:tc>
          <w:tcPr/>
          <w:p>
            <w:pPr>
              <w:pStyle w:val="Compact"/>
              <w:jc w:val="center"/>
            </w:pPr>
            <w:r>
              <w:t xml:space="preserve">,</w:t>
            </w:r>
            <w:r>
              <w:t xml:space="preserve">948</w:t>
            </w:r>
          </w:p>
        </w:tc>
      </w:tr>
      <w:tr>
        <w:tc>
          <w:tcPr/>
          <w:p>
            <w:pPr>
              <w:pStyle w:val="Compact"/>
              <w:jc w:val="left"/>
            </w:pPr>
            <w:r>
              <w:t xml:space="preserve">R5</w:t>
            </w:r>
          </w:p>
        </w:tc>
        <w:tc>
          <w:tcPr/>
          <w:p>
            <w:pPr>
              <w:pStyle w:val="Compact"/>
              <w:jc w:val="left"/>
            </w:pPr>
            <w:r>
              <w:t xml:space="preserve">Nodos histórico-políticos (2014, 2018, 2019, 2021)</w:t>
            </w:r>
          </w:p>
        </w:tc>
        <w:tc>
          <w:tcPr/>
          <w:p>
            <w:pPr>
              <w:pStyle w:val="Compact"/>
              <w:jc w:val="center"/>
            </w:pPr>
            <m:oMath>
              <m:r>
                <m:rPr>
                  <m:sty m:val="p"/>
                </m:rPr>
                <m:t>−</m:t>
              </m:r>
            </m:oMath>
            <w:r>
              <w:t xml:space="preserve">0</w:t>
            </w:r>
            <w:r>
              <w:t xml:space="preserve">,</w:t>
            </w:r>
            <w:r>
              <w:t xml:space="preserve">107</w:t>
            </w:r>
          </w:p>
        </w:tc>
        <w:tc>
          <w:tcPr/>
          <w:p>
            <w:pPr>
              <w:pStyle w:val="Compact"/>
              <w:jc w:val="center"/>
            </w:pPr>
            <w:r>
              <w:t xml:space="preserve">0</w:t>
            </w:r>
            <w:r>
              <w:t xml:space="preserve">,</w:t>
            </w:r>
            <w:r>
              <w:t xml:space="preserve">899</w:t>
            </w:r>
          </w:p>
        </w:tc>
        <w:tc>
          <w:tcPr/>
          <w:p>
            <w:pPr>
              <w:pStyle w:val="Compact"/>
              <w:jc w:val="center"/>
            </w:pPr>
            <w:r>
              <w:t xml:space="preserve">,</w:t>
            </w:r>
            <w:r>
              <w:t xml:space="preserve">118</w:t>
            </w:r>
          </w:p>
        </w:tc>
      </w:tr>
      <w:tr>
        <w:tc>
          <w:tcPr/>
          <w:p>
            <w:pPr>
              <w:pStyle w:val="Compact"/>
              <w:jc w:val="left"/>
            </w:pPr>
            <w:r>
              <w:t xml:space="preserve">R6</w:t>
            </w:r>
          </w:p>
        </w:tc>
        <w:tc>
          <w:tcPr/>
          <w:p>
            <w:pPr>
              <w:pStyle w:val="Compact"/>
              <w:jc w:val="left"/>
            </w:pPr>
            <w:r>
              <w:t xml:space="preserve">Detenciones como variable dependiente</w:t>
            </w:r>
          </w:p>
        </w:tc>
        <w:tc>
          <w:tcPr/>
          <w:p>
            <w:pPr>
              <w:pStyle w:val="Compact"/>
              <w:jc w:val="center"/>
            </w:pPr>
            <m:oMath>
              <m:r>
                <m:rPr>
                  <m:sty m:val="p"/>
                </m:rPr>
                <m:t>−</m:t>
              </m:r>
            </m:oMath>
            <w:r>
              <w:t xml:space="preserve">0</w:t>
            </w:r>
            <w:r>
              <w:t xml:space="preserve">,</w:t>
            </w:r>
            <w:r>
              <w:t xml:space="preserve">618</w:t>
            </w:r>
          </w:p>
        </w:tc>
        <w:tc>
          <w:tcPr/>
          <w:p>
            <w:pPr>
              <w:pStyle w:val="Compact"/>
              <w:jc w:val="center"/>
            </w:pPr>
            <w:r>
              <w:t xml:space="preserve">0</w:t>
            </w:r>
            <w:r>
              <w:t xml:space="preserve">,</w:t>
            </w:r>
            <w:r>
              <w:t xml:space="preserve">539</w:t>
            </w:r>
          </w:p>
        </w:tc>
        <w:tc>
          <w:tcPr/>
          <w:p>
            <w:pPr>
              <w:pStyle w:val="Compact"/>
              <w:jc w:val="center"/>
            </w:pPr>
            <m:oMath>
              <m:r>
                <m:rPr>
                  <m:sty m:val="p"/>
                </m:rPr>
                <m:t>&lt;</m:t>
              </m:r>
            </m:oMath>
            <w:r>
              <w:t xml:space="preserve">.001</w:t>
            </w:r>
          </w:p>
        </w:tc>
      </w:tr>
      <w:tr>
        <w:tc>
          <w:tcPr/>
          <w:p>
            <w:pPr>
              <w:pStyle w:val="Compact"/>
              <w:jc w:val="left"/>
            </w:pPr>
            <w:r>
              <w:t xml:space="preserve">R7</w:t>
            </w:r>
          </w:p>
        </w:tc>
        <w:tc>
          <w:tcPr/>
          <w:p>
            <w:pPr>
              <w:pStyle w:val="Compact"/>
              <w:jc w:val="left"/>
            </w:pPr>
            <w:r>
              <w:t xml:space="preserve">Spline más flexible (df = 5)</w:t>
            </w:r>
          </w:p>
        </w:tc>
        <w:tc>
          <w:tcPr/>
          <w:p>
            <w:pPr>
              <w:pStyle w:val="Compact"/>
              <w:jc w:val="center"/>
            </w:pPr>
            <m:oMath>
              <m:r>
                <m:rPr>
                  <m:sty m:val="p"/>
                </m:rPr>
                <m:t>−</m:t>
              </m:r>
            </m:oMath>
            <w:r>
              <w:t xml:space="preserve">0</w:t>
            </w:r>
            <w:r>
              <w:t xml:space="preserve">,</w:t>
            </w:r>
            <w:r>
              <w:t xml:space="preserve">147</w:t>
            </w:r>
          </w:p>
        </w:tc>
        <w:tc>
          <w:tcPr/>
          <w:p>
            <w:pPr>
              <w:pStyle w:val="Compact"/>
              <w:jc w:val="center"/>
            </w:pPr>
            <w:r>
              <w:t xml:space="preserve">0</w:t>
            </w:r>
            <w:r>
              <w:t xml:space="preserve">,</w:t>
            </w:r>
            <w:r>
              <w:t xml:space="preserve">863</w:t>
            </w:r>
          </w:p>
        </w:tc>
        <w:tc>
          <w:tcPr/>
          <w:p>
            <w:pPr>
              <w:pStyle w:val="Compact"/>
              <w:jc w:val="center"/>
            </w:pPr>
            <w:r>
              <w:t xml:space="preserve">,</w:t>
            </w:r>
            <w:r>
              <w:t xml:space="preserve">068</w:t>
            </w:r>
          </w:p>
        </w:tc>
      </w:tr>
    </w:tbl>
    <w:bookmarkEnd w:id="59"/>
    <w:p>
      <w:pPr>
        <w:pStyle w:val="BodyText"/>
      </w:pPr>
      <w:r>
        <w:rPr>
          <w:i/>
          <w:iCs/>
        </w:rPr>
        <w:t xml:space="preserve">Nota:</w:t>
      </w:r>
      <w:r>
        <w:t xml:space="preserve"> </w:t>
      </w:r>
      <w:r>
        <w:t xml:space="preserve">El estimador reportado corresponde al Spline 4 del modelo (tendencia en el</w:t>
      </w:r>
      <w:r>
        <w:t xml:space="preserve"> </w:t>
      </w:r>
      <w:r>
        <w:t xml:space="preserve">período 2022–2025), que es el término de interés principal. Todas las</w:t>
      </w:r>
      <w:r>
        <w:t xml:space="preserve"> </w:t>
      </w:r>
      <w:r>
        <w:t xml:space="preserve">especificaciones incluyen dummies de estallido/pandemia, efectos fijos regionales y</w:t>
      </w:r>
      <w:r>
        <w:t xml:space="preserve"> </w:t>
      </w:r>
      <w:r>
        <w:t xml:space="preserve">estacionalidad mensual.</w:t>
      </w:r>
    </w:p>
    <w:p>
      <w:pPr>
        <w:pStyle w:val="BodyText"/>
      </w:pPr>
      <w:r>
        <w:t xml:space="preserve">La Tabla </w:t>
      </w:r>
      <w:hyperlink w:anchor="tab:sensipop">
        <w:r>
          <w:rPr>
            <w:rStyle w:val="Hyperlink"/>
          </w:rPr>
          <w:t xml:space="preserve">8</w:t>
        </w:r>
      </w:hyperlink>
      <w:r>
        <w:t xml:space="preserve"> </w:t>
      </w:r>
      <w:r>
        <w:t xml:space="preserve">examina la sensibilidad al denominador de población</w:t>
      </w:r>
      <w:r>
        <w:t xml:space="preserve"> </w:t>
      </w:r>
      <w:r>
        <w:t xml:space="preserve">irregular bajo factores de inflación demográfica</w:t>
      </w:r>
      <w:r>
        <w:t xml:space="preserve"> </w:t>
      </w:r>
      <m:oMath>
        <m:r>
          <m:t>k</m:t>
        </m:r>
        <m:r>
          <m:rPr>
            <m:sty m:val="p"/>
          </m:rPr>
          <m:t>∈</m:t>
        </m:r>
        <m:r>
          <m:rPr>
            <m:sty m:val="p"/>
          </m:rPr>
          <m:t>{</m:t>
        </m:r>
        <m:r>
          <m:t>1</m:t>
        </m:r>
        <m:r>
          <m:rPr>
            <m:sty m:val="p"/>
          </m:rPr>
          <m:t>,</m:t>
        </m:r>
        <m:r>
          <m:t>00</m:t>
        </m:r>
        <m:r>
          <m:rPr>
            <m:sty m:val="p"/>
          </m:rPr>
          <m:t>,</m:t>
        </m:r>
        <m:r>
          <m:t>1</m:t>
        </m:r>
        <m:r>
          <m:rPr>
            <m:sty m:val="p"/>
          </m:rPr>
          <m:t>,</m:t>
        </m:r>
        <m:r>
          <m:t>05</m:t>
        </m:r>
        <m:r>
          <m:rPr>
            <m:sty m:val="p"/>
          </m:rPr>
          <m:t>,</m:t>
        </m:r>
        <m:r>
          <m:t>1</m:t>
        </m:r>
        <m:r>
          <m:rPr>
            <m:sty m:val="p"/>
          </m:rPr>
          <m:t>,</m:t>
        </m:r>
        <m:r>
          <m:t>10</m:t>
        </m:r>
        <m:r>
          <m:rPr>
            <m:sty m:val="p"/>
          </m:rPr>
          <m:t>,</m:t>
        </m:r>
        <m:r>
          <m:t>1</m:t>
        </m:r>
        <m:r>
          <m:rPr>
            <m:sty m:val="p"/>
          </m:rPr>
          <m:t>,</m:t>
        </m:r>
        <m:r>
          <m:t>15</m:t>
        </m:r>
        <m:r>
          <m:rPr>
            <m:sty m:val="p"/>
          </m:rPr>
          <m:t>,</m:t>
        </m:r>
        <m:r>
          <m:t>1</m:t>
        </m:r>
        <m:r>
          <m:rPr>
            <m:sty m:val="p"/>
          </m:rPr>
          <m:t>,</m:t>
        </m:r>
        <m:r>
          <m:t>20</m:t>
        </m:r>
        <m:r>
          <m:rPr>
            <m:sty m:val="p"/>
          </m:rPr>
          <m:t>}</m:t>
        </m:r>
      </m:oMath>
      <w:r>
        <w:t xml:space="preserve"> </w:t>
      </w:r>
      <w:r>
        <w:t xml:space="preserve">aplicados a regiones de alta inmigración. El estimador del Spline 4 y el IRR</w:t>
      </w:r>
      <w:r>
        <w:t xml:space="preserve"> </w:t>
      </w:r>
      <w:r>
        <w:t xml:space="preserve">permanecen idénticos en todos los escenarios (estimador = </w:t>
      </w:r>
      <m:oMath>
        <m:r>
          <m:rPr>
            <m:sty m:val="p"/>
          </m:rPr>
          <m:t>−</m:t>
        </m:r>
        <m:r>
          <m:t>0</m:t>
        </m:r>
        <m:r>
          <m:rPr>
            <m:sty m:val="p"/>
          </m:rPr>
          <m:t>,</m:t>
        </m:r>
        <m:r>
          <m:t>141</m:t>
        </m:r>
      </m:oMath>
      <w:r>
        <w:t xml:space="preserve">; IRR = 0</w:t>
      </w:r>
      <w:r>
        <w:t xml:space="preserve">,</w:t>
      </w:r>
      <w:r>
        <w:t xml:space="preserve">868),</w:t>
      </w:r>
      <w:r>
        <w:t xml:space="preserve"> </w:t>
      </w:r>
      <w:r>
        <w:t xml:space="preserve">con variaciones mínimas en el error estándar que no alteran la inferencia (rango</w:t>
      </w:r>
      <w:r>
        <w:t xml:space="preserve"> </w:t>
      </w:r>
      <w:r>
        <w:t xml:space="preserve">de</w:t>
      </w:r>
      <w:r>
        <w:t xml:space="preserve"> </w:t>
      </w:r>
      <m:oMath>
        <m:r>
          <m:t>p</m:t>
        </m:r>
      </m:oMath>
      <w:r>
        <w:t xml:space="preserve">: 0</w:t>
      </w:r>
      <w:r>
        <w:t xml:space="preserve">,</w:t>
      </w:r>
      <w:r>
        <w:t xml:space="preserve">048–0</w:t>
      </w:r>
      <w:r>
        <w:t xml:space="preserve">,</w:t>
      </w:r>
      <w:r>
        <w:t xml:space="preserve">062). La</w:t>
      </w:r>
      <w:r>
        <w:t xml:space="preserve"> </w:t>
      </w:r>
      <w:r>
        <w:t xml:space="preserve">invariancia se explica porque el factor</w:t>
      </w:r>
      <w:r>
        <w:t xml:space="preserve"> </w:t>
      </w:r>
      <m:oMath>
        <m:r>
          <m:t>k</m:t>
        </m:r>
      </m:oMath>
      <w:r>
        <w:t xml:space="preserve"> </w:t>
      </w:r>
      <w:r>
        <w:t xml:space="preserve">desplaza el</w:t>
      </w:r>
      <w:r>
        <w:t xml:space="preserve"> </w:t>
      </w:r>
      <w:r>
        <w:rPr>
          <w:i/>
          <w:iCs/>
        </w:rPr>
        <w:t xml:space="preserve">offset</w:t>
      </w:r>
      <w:r>
        <w:t xml:space="preserve"> </w:t>
      </w:r>
      <w:r>
        <w:t xml:space="preserve">uniformemente, afectando</w:t>
      </w:r>
      <w:r>
        <w:t xml:space="preserve"> </w:t>
      </w:r>
      <w:r>
        <w:t xml:space="preserve">el intercepto pero no los coeficientes de tendencia. Los resultados son por tanto robustos</w:t>
      </w:r>
      <w:r>
        <w:t xml:space="preserve"> </w:t>
      </w:r>
      <w:r>
        <w:t xml:space="preserve">a cualquier supuesto plausible sobre la población irregular no capturada por SERMIG.</w:t>
      </w:r>
    </w:p>
    <w:p>
      <w:pPr>
        <w:pStyle w:val="BodyText"/>
      </w:pPr>
      <w:r>
        <w:t xml:space="preserve">max width=</w:t>
      </w:r>
    </w:p>
    <w:bookmarkStart w:id="60" w:name="tab:sensipop"/>
    <w:p>
      <w:pPr>
        <w:pStyle w:val="TableCaption"/>
      </w:pPr>
      <w:r>
        <w:t xml:space="preserve">Sensibilidad al denominador irregular: factor de inflación</w:t>
      </w:r>
      <w:r>
        <w:t xml:space="preserve"> </w:t>
      </w:r>
      <m:oMath>
        <m:r>
          <m:t>k</m:t>
        </m:r>
      </m:oMath>
      <w:r>
        <w:t xml:space="preserve"> </w:t>
      </w:r>
      <w:r>
        <w:t xml:space="preserve">sobre</w:t>
      </w:r>
      <w:r>
        <w:t xml:space="preserve"> </w:t>
      </w:r>
      <w:r>
        <w:t xml:space="preserve">población corregida (robos violentos)</w:t>
      </w:r>
    </w:p>
    <w:tbl>
      <w:tblPr>
        <w:tblStyle w:val="Table"/>
        <w:tblW w:type="auto" w:w="0"/>
        <w:tblLook w:firstRow="1" w:lastRow="0" w:firstColumn="0" w:lastColumn="0" w:noHBand="0" w:noVBand="0" w:val="0020"/>
        <w:tblCaption w:val="Sensibilidad al denominador irregular: factor de inflación k sobre población corregida (robos violentos)"/>
      </w:tblPr>
      <w:tblGrid>
        <w:gridCol w:w="1584"/>
        <w:gridCol w:w="1584"/>
        <w:gridCol w:w="1584"/>
        <w:gridCol w:w="1584"/>
        <w:gridCol w:w="1584"/>
      </w:tblGrid>
      <w:tr>
        <w:trPr>
          <w:tblHeader w:val="on"/>
        </w:trPr>
        <w:tc>
          <w:tcPr/>
          <w:p>
            <w:pPr>
              <w:pStyle w:val="Compact"/>
              <w:jc w:val="center"/>
            </w:pPr>
            <w:r>
              <w:rPr>
                <w:b/>
                <w:bCs/>
              </w:rPr>
              <w:t xml:space="preserve">Factor</w:t>
            </w:r>
            <w:r>
              <w:rPr>
                <w:b/>
                <w:bCs/>
              </w:rPr>
              <w:t xml:space="preserve"> </w:t>
            </w:r>
            <m:oMath>
              <m:r>
                <m:t>k</m:t>
              </m:r>
            </m:oMath>
          </w:p>
        </w:tc>
        <w:tc>
          <w:tcPr/>
          <w:p>
            <w:pPr>
              <w:pStyle w:val="Compact"/>
              <w:jc w:val="center"/>
            </w:pPr>
            <w:r>
              <w:rPr>
                <w:b/>
                <w:bCs/>
              </w:rPr>
              <w:t xml:space="preserve">Estimador</w:t>
            </w:r>
          </w:p>
        </w:tc>
        <w:tc>
          <w:tcPr/>
          <w:p>
            <w:pPr>
              <w:pStyle w:val="Compact"/>
              <w:jc w:val="center"/>
            </w:pPr>
            <w:r>
              <w:rPr>
                <w:b/>
                <w:bCs/>
              </w:rPr>
              <w:t xml:space="preserve">EE (WCB)</w:t>
            </w:r>
          </w:p>
        </w:tc>
        <w:tc>
          <w:tcPr/>
          <w:p>
            <w:pPr>
              <w:pStyle w:val="Compact"/>
              <w:jc w:val="center"/>
            </w:pPr>
            <w:r>
              <w:rPr>
                <w:b/>
                <w:bCs/>
              </w:rPr>
              <w:t xml:space="preserve">IRR</w:t>
            </w:r>
          </w:p>
        </w:tc>
        <w:tc>
          <w:tcPr/>
          <w:p>
            <w:pPr>
              <w:pStyle w:val="Compact"/>
              <w:jc w:val="center"/>
            </w:pPr>
            <m:oMath>
              <m:r>
                <m:t>p</m:t>
              </m:r>
            </m:oMath>
          </w:p>
        </w:tc>
      </w:tr>
      <w:tr>
        <w:tc>
          <w:tcPr/>
          <w:p>
            <w:pPr>
              <w:pStyle w:val="Compact"/>
              <w:jc w:val="center"/>
            </w:pPr>
            <w:r>
              <w:t xml:space="preserve">1</w:t>
            </w:r>
            <w:r>
              <w:t xml:space="preserve">,</w:t>
            </w:r>
            <w:r>
              <w:t xml:space="preserve">00</w:t>
            </w:r>
          </w:p>
        </w:tc>
        <w:tc>
          <w:tcPr/>
          <w:p>
            <w:pPr>
              <w:pStyle w:val="Compact"/>
              <w:jc w:val="center"/>
            </w:pPr>
            <m:oMath>
              <m:r>
                <m:rPr>
                  <m:sty m:val="p"/>
                </m:rPr>
                <m:t>−</m:t>
              </m:r>
            </m:oMath>
            <w:r>
              <w:t xml:space="preserve">0</w:t>
            </w:r>
            <w:r>
              <w:t xml:space="preserve">,</w:t>
            </w:r>
            <w:r>
              <w:t xml:space="preserve">141</w:t>
            </w:r>
          </w:p>
        </w:tc>
        <w:tc>
          <w:tcPr/>
          <w:p>
            <w:pPr>
              <w:pStyle w:val="Compact"/>
              <w:jc w:val="center"/>
            </w:pPr>
            <w:r>
              <w:t xml:space="preserve">0</w:t>
            </w:r>
            <w:r>
              <w:t xml:space="preserve">,</w:t>
            </w:r>
            <w:r>
              <w:t xml:space="preserve">071</w:t>
            </w:r>
          </w:p>
        </w:tc>
        <w:tc>
          <w:tcPr/>
          <w:p>
            <w:pPr>
              <w:pStyle w:val="Compact"/>
              <w:jc w:val="center"/>
            </w:pPr>
            <w:r>
              <w:t xml:space="preserve">0</w:t>
            </w:r>
            <w:r>
              <w:t xml:space="preserve">,</w:t>
            </w:r>
            <w:r>
              <w:t xml:space="preserve">868</w:t>
            </w:r>
          </w:p>
        </w:tc>
        <w:tc>
          <w:tcPr/>
          <w:p>
            <w:pPr>
              <w:pStyle w:val="Compact"/>
              <w:jc w:val="center"/>
            </w:pPr>
            <w:r>
              <w:t xml:space="preserve">,</w:t>
            </w:r>
            <w:r>
              <w:t xml:space="preserve">048</w:t>
            </w:r>
          </w:p>
        </w:tc>
      </w:tr>
      <w:tr>
        <w:tc>
          <w:tcPr/>
          <w:p>
            <w:pPr>
              <w:pStyle w:val="Compact"/>
              <w:jc w:val="center"/>
            </w:pPr>
            <w:r>
              <w:t xml:space="preserve">1</w:t>
            </w:r>
            <w:r>
              <w:t xml:space="preserve">,</w:t>
            </w:r>
            <w:r>
              <w:t xml:space="preserve">05</w:t>
            </w:r>
          </w:p>
        </w:tc>
        <w:tc>
          <w:tcPr/>
          <w:p>
            <w:pPr>
              <w:pStyle w:val="Compact"/>
              <w:jc w:val="center"/>
            </w:pPr>
            <m:oMath>
              <m:r>
                <m:rPr>
                  <m:sty m:val="p"/>
                </m:rPr>
                <m:t>−</m:t>
              </m:r>
            </m:oMath>
            <w:r>
              <w:t xml:space="preserve">0</w:t>
            </w:r>
            <w:r>
              <w:t xml:space="preserve">,</w:t>
            </w:r>
            <w:r>
              <w:t xml:space="preserve">141</w:t>
            </w:r>
          </w:p>
        </w:tc>
        <w:tc>
          <w:tcPr/>
          <w:p>
            <w:pPr>
              <w:pStyle w:val="Compact"/>
              <w:jc w:val="center"/>
            </w:pPr>
            <w:r>
              <w:t xml:space="preserve">0</w:t>
            </w:r>
            <w:r>
              <w:t xml:space="preserve">,</w:t>
            </w:r>
            <w:r>
              <w:t xml:space="preserve">075</w:t>
            </w:r>
          </w:p>
        </w:tc>
        <w:tc>
          <w:tcPr/>
          <w:p>
            <w:pPr>
              <w:pStyle w:val="Compact"/>
              <w:jc w:val="center"/>
            </w:pPr>
            <w:r>
              <w:t xml:space="preserve">0</w:t>
            </w:r>
            <w:r>
              <w:t xml:space="preserve">,</w:t>
            </w:r>
            <w:r>
              <w:t xml:space="preserve">868</w:t>
            </w:r>
          </w:p>
        </w:tc>
        <w:tc>
          <w:tcPr/>
          <w:p>
            <w:pPr>
              <w:pStyle w:val="Compact"/>
              <w:jc w:val="center"/>
            </w:pPr>
            <w:r>
              <w:t xml:space="preserve">,</w:t>
            </w:r>
            <w:r>
              <w:t xml:space="preserve">061</w:t>
            </w:r>
          </w:p>
        </w:tc>
      </w:tr>
      <w:tr>
        <w:tc>
          <w:tcPr/>
          <w:p>
            <w:pPr>
              <w:pStyle w:val="Compact"/>
              <w:jc w:val="center"/>
            </w:pPr>
            <w:r>
              <w:t xml:space="preserve">1</w:t>
            </w:r>
            <w:r>
              <w:t xml:space="preserve">,</w:t>
            </w:r>
            <w:r>
              <w:t xml:space="preserve">10</w:t>
            </w:r>
          </w:p>
        </w:tc>
        <w:tc>
          <w:tcPr/>
          <w:p>
            <w:pPr>
              <w:pStyle w:val="Compact"/>
              <w:jc w:val="center"/>
            </w:pPr>
            <m:oMath>
              <m:r>
                <m:rPr>
                  <m:sty m:val="p"/>
                </m:rPr>
                <m:t>−</m:t>
              </m:r>
            </m:oMath>
            <w:r>
              <w:t xml:space="preserve">0</w:t>
            </w:r>
            <w:r>
              <w:t xml:space="preserve">,</w:t>
            </w:r>
            <w:r>
              <w:t xml:space="preserve">141</w:t>
            </w:r>
          </w:p>
        </w:tc>
        <w:tc>
          <w:tcPr/>
          <w:p>
            <w:pPr>
              <w:pStyle w:val="Compact"/>
              <w:jc w:val="center"/>
            </w:pPr>
            <w:r>
              <w:t xml:space="preserve">0</w:t>
            </w:r>
            <w:r>
              <w:t xml:space="preserve">,</w:t>
            </w:r>
            <w:r>
              <w:t xml:space="preserve">074</w:t>
            </w:r>
          </w:p>
        </w:tc>
        <w:tc>
          <w:tcPr/>
          <w:p>
            <w:pPr>
              <w:pStyle w:val="Compact"/>
              <w:jc w:val="center"/>
            </w:pPr>
            <w:r>
              <w:t xml:space="preserve">0</w:t>
            </w:r>
            <w:r>
              <w:t xml:space="preserve">,</w:t>
            </w:r>
            <w:r>
              <w:t xml:space="preserve">868</w:t>
            </w:r>
          </w:p>
        </w:tc>
        <w:tc>
          <w:tcPr/>
          <w:p>
            <w:pPr>
              <w:pStyle w:val="Compact"/>
              <w:jc w:val="center"/>
            </w:pPr>
            <w:r>
              <w:t xml:space="preserve">,</w:t>
            </w:r>
            <w:r>
              <w:t xml:space="preserve">057</w:t>
            </w:r>
          </w:p>
        </w:tc>
      </w:tr>
      <w:tr>
        <w:tc>
          <w:tcPr/>
          <w:p>
            <w:pPr>
              <w:pStyle w:val="Compact"/>
              <w:jc w:val="center"/>
            </w:pPr>
            <w:r>
              <w:t xml:space="preserve">1</w:t>
            </w:r>
            <w:r>
              <w:t xml:space="preserve">,</w:t>
            </w:r>
            <w:r>
              <w:t xml:space="preserve">15</w:t>
            </w:r>
          </w:p>
        </w:tc>
        <w:tc>
          <w:tcPr/>
          <w:p>
            <w:pPr>
              <w:pStyle w:val="Compact"/>
              <w:jc w:val="center"/>
            </w:pPr>
            <m:oMath>
              <m:r>
                <m:rPr>
                  <m:sty m:val="p"/>
                </m:rPr>
                <m:t>−</m:t>
              </m:r>
            </m:oMath>
            <w:r>
              <w:t xml:space="preserve">0</w:t>
            </w:r>
            <w:r>
              <w:t xml:space="preserve">,</w:t>
            </w:r>
            <w:r>
              <w:t xml:space="preserve">141</w:t>
            </w:r>
          </w:p>
        </w:tc>
        <w:tc>
          <w:tcPr/>
          <w:p>
            <w:pPr>
              <w:pStyle w:val="Compact"/>
              <w:jc w:val="center"/>
            </w:pPr>
            <w:r>
              <w:t xml:space="preserve">0</w:t>
            </w:r>
            <w:r>
              <w:t xml:space="preserve">,</w:t>
            </w:r>
            <w:r>
              <w:t xml:space="preserve">072</w:t>
            </w:r>
          </w:p>
        </w:tc>
        <w:tc>
          <w:tcPr/>
          <w:p>
            <w:pPr>
              <w:pStyle w:val="Compact"/>
              <w:jc w:val="center"/>
            </w:pPr>
            <w:r>
              <w:t xml:space="preserve">0</w:t>
            </w:r>
            <w:r>
              <w:t xml:space="preserve">,</w:t>
            </w:r>
            <w:r>
              <w:t xml:space="preserve">868</w:t>
            </w:r>
          </w:p>
        </w:tc>
        <w:tc>
          <w:tcPr/>
          <w:p>
            <w:pPr>
              <w:pStyle w:val="Compact"/>
              <w:jc w:val="center"/>
            </w:pPr>
            <w:r>
              <w:t xml:space="preserve">,</w:t>
            </w:r>
            <w:r>
              <w:t xml:space="preserve">050</w:t>
            </w:r>
          </w:p>
        </w:tc>
      </w:tr>
      <w:tr>
        <w:tc>
          <w:tcPr/>
          <w:p>
            <w:pPr>
              <w:pStyle w:val="Compact"/>
              <w:jc w:val="center"/>
            </w:pPr>
            <w:r>
              <w:t xml:space="preserve">1</w:t>
            </w:r>
            <w:r>
              <w:t xml:space="preserve">,</w:t>
            </w:r>
            <w:r>
              <w:t xml:space="preserve">20</w:t>
            </w:r>
          </w:p>
        </w:tc>
        <w:tc>
          <w:tcPr/>
          <w:p>
            <w:pPr>
              <w:pStyle w:val="Compact"/>
              <w:jc w:val="center"/>
            </w:pPr>
            <m:oMath>
              <m:r>
                <m:rPr>
                  <m:sty m:val="p"/>
                </m:rPr>
                <m:t>−</m:t>
              </m:r>
            </m:oMath>
            <w:r>
              <w:t xml:space="preserve">0</w:t>
            </w:r>
            <w:r>
              <w:t xml:space="preserve">,</w:t>
            </w:r>
            <w:r>
              <w:t xml:space="preserve">141</w:t>
            </w:r>
          </w:p>
        </w:tc>
        <w:tc>
          <w:tcPr/>
          <w:p>
            <w:pPr>
              <w:pStyle w:val="Compact"/>
              <w:jc w:val="center"/>
            </w:pPr>
            <w:r>
              <w:t xml:space="preserve">0</w:t>
            </w:r>
            <w:r>
              <w:t xml:space="preserve">,</w:t>
            </w:r>
            <w:r>
              <w:t xml:space="preserve">076</w:t>
            </w:r>
          </w:p>
        </w:tc>
        <w:tc>
          <w:tcPr/>
          <w:p>
            <w:pPr>
              <w:pStyle w:val="Compact"/>
              <w:jc w:val="center"/>
            </w:pPr>
            <w:r>
              <w:t xml:space="preserve">0</w:t>
            </w:r>
            <w:r>
              <w:t xml:space="preserve">,</w:t>
            </w:r>
            <w:r>
              <w:t xml:space="preserve">868</w:t>
            </w:r>
          </w:p>
        </w:tc>
        <w:tc>
          <w:tcPr/>
          <w:p>
            <w:pPr>
              <w:pStyle w:val="Compact"/>
              <w:jc w:val="center"/>
            </w:pPr>
            <w:r>
              <w:t xml:space="preserve">,</w:t>
            </w:r>
            <w:r>
              <w:t xml:space="preserve">062</w:t>
            </w:r>
          </w:p>
        </w:tc>
      </w:tr>
    </w:tbl>
    <w:bookmarkEnd w:id="60"/>
    <w:p>
      <w:pPr>
        <w:pStyle w:val="BodyText"/>
      </w:pPr>
      <w:r>
        <w:rPr>
          <w:i/>
          <w:iCs/>
        </w:rPr>
        <w:t xml:space="preserve">Nota:</w:t>
      </w:r>
      <w:r>
        <w:t xml:space="preserve"> </w:t>
      </w:r>
      <m:oMath>
        <m:r>
          <m:t>k</m:t>
        </m:r>
      </m:oMath>
      <w:r>
        <w:t xml:space="preserve"> </w:t>
      </w:r>
      <w:r>
        <w:t xml:space="preserve">= factor de inflación aplicado a la población corregida de regiones</w:t>
      </w:r>
      <w:r>
        <w:t xml:space="preserve"> </w:t>
      </w:r>
      <w:r>
        <w:t xml:space="preserve">de alta inmigración (Tarapacá, Antofagasta, Arica y Parinacota, Región</w:t>
      </w:r>
      <w:r>
        <w:t xml:space="preserve"> </w:t>
      </w:r>
      <w:r>
        <w:t xml:space="preserve">Metropolitana). La invariancia del estimador y el IRR confirma que los resultados son</w:t>
      </w:r>
      <w:r>
        <w:t xml:space="preserve"> </w:t>
      </w:r>
      <w:r>
        <w:t xml:space="preserve">independientes de los supuestos sobre la población irregular.</w:t>
      </w:r>
    </w:p>
    <w:bookmarkEnd w:id="61"/>
    <w:bookmarkStart w:id="62" w:name="sec:discusion"/>
    <w:p>
      <w:pPr>
        <w:pStyle w:val="Heading1"/>
      </w:pPr>
      <w:r>
        <w:t xml:space="preserve">Discusión</w:t>
      </w:r>
    </w:p>
    <w:p>
      <w:pPr>
        <w:pStyle w:val="FirstParagraph"/>
      </w:pPr>
      <w:r>
        <w:t xml:space="preserve">La evidencia presentada invierte el diagnóstico dominante sobre la delincuencia</w:t>
      </w:r>
      <w:r>
        <w:t xml:space="preserve"> </w:t>
      </w:r>
      <w:r>
        <w:t xml:space="preserve">patrimonial en Chile: no existe una crisis de volumen en los delitos violentos,</w:t>
      </w:r>
      <w:r>
        <w:t xml:space="preserve"> </w:t>
      </w:r>
      <w:r>
        <w:t xml:space="preserve">sino una transformación de composición. El ratio robos violentos sobre el total</w:t>
      </w:r>
      <w:r>
        <w:t xml:space="preserve"> </w:t>
      </w:r>
      <w:r>
        <w:t xml:space="preserve">patrimonial alcanzó un máximo histórico de 21</w:t>
      </w:r>
      <w:r>
        <w:t xml:space="preserve">,</w:t>
      </w:r>
      <w:r>
        <w:t xml:space="preserve">6% en enero de 2024, sostenido</w:t>
      </w:r>
      <w:r>
        <w:t xml:space="preserve"> </w:t>
      </w:r>
      <w:r>
        <w:t xml:space="preserve">por cuatro quiebres sucesivos de</w:t>
      </w:r>
      <w:r>
        <w:t xml:space="preserve"> </w:t>
      </w:r>
      <w:r>
        <w:rPr>
          <w:i/>
          <w:iCs/>
        </w:rPr>
        <w:t xml:space="preserve">Bai-Perron</w:t>
      </w:r>
      <w:r>
        <w:t xml:space="preserve">; sin embargo, su mecanismo generador no</w:t>
      </w:r>
      <w:r>
        <w:t xml:space="preserve"> </w:t>
      </w:r>
      <w:r>
        <w:t xml:space="preserve">es el aumento de los robos violentos, sino el declive más acelerado y estructural</w:t>
      </w:r>
      <w:r>
        <w:t xml:space="preserve"> </w:t>
      </w:r>
      <w:r>
        <w:t xml:space="preserve">de los robos no violentos (Spline 4: IRR = 0</w:t>
      </w:r>
      <w:r>
        <w:t xml:space="preserve">,</w:t>
      </w:r>
      <w:r>
        <w:t xml:space="preserve">648,</w:t>
      </w:r>
      <w:r>
        <w:t xml:space="preserve"> </w:t>
      </w:r>
      <m:oMath>
        <m:r>
          <m:t>p</m:t>
        </m:r>
        <m:r>
          <m:rPr>
            <m:sty m:val="p"/>
          </m:rPr>
          <m:t>&lt;</m:t>
        </m:r>
        <m:r>
          <m:t>0</m:t>
        </m:r>
        <m:r>
          <m:rPr>
            <m:sty m:val="p"/>
          </m:rPr>
          <m:t>,</m:t>
        </m:r>
        <m:r>
          <m:t>001</m:t>
        </m:r>
      </m:oMath>
      <w:r>
        <w:t xml:space="preserve">, una reducción del</w:t>
      </w:r>
      <w:r>
        <w:t xml:space="preserve"> </w:t>
      </w:r>
      <w:r>
        <w:t xml:space="preserve">35</w:t>
      </w:r>
      <w:r>
        <w:t xml:space="preserve">,</w:t>
      </w:r>
      <w:r>
        <w:t xml:space="preserve">2% respecto del nivel inicial). Los dos tipos que concentran el 93% del</w:t>
      </w:r>
      <w:r>
        <w:t xml:space="preserve"> </w:t>
      </w:r>
      <w:r>
        <w:t xml:space="preserve">grupo—intimidación y violencia directa—muestran tasas post-pandemia inferiores</w:t>
      </w:r>
      <w:r>
        <w:t xml:space="preserve"> </w:t>
      </w:r>
      <w:r>
        <w:t xml:space="preserve">a la referencia 2016–2019. La paradoja estadística—ratio creciente, volumen</w:t>
      </w:r>
      <w:r>
        <w:t xml:space="preserve"> </w:t>
      </w:r>
      <w:r>
        <w:t xml:space="preserve">estabilizado o en inflexión descendente—es el resultado de tres fuerzas que</w:t>
      </w:r>
      <w:r>
        <w:t xml:space="preserve"> </w:t>
      </w:r>
      <w:r>
        <w:t xml:space="preserve">operan en la misma dirección con intensidades distintas: la contracción</w:t>
      </w:r>
      <w:r>
        <w:t xml:space="preserve"> </w:t>
      </w:r>
      <w:r>
        <w:t xml:space="preserve">estructural de oportunidades para el robo sin confrontación, la mayor resistencia</w:t>
      </w:r>
      <w:r>
        <w:t xml:space="preserve"> </w:t>
      </w:r>
      <w:r>
        <w:t xml:space="preserve">del delito coercitivo a esas barreras, y la emergencia de nuevas modalidades</w:t>
      </w:r>
      <w:r>
        <w:t xml:space="preserve"> </w:t>
      </w:r>
      <w:r>
        <w:t xml:space="preserve">organizadas de alta lesividad.</w:t>
      </w:r>
    </w:p>
    <w:p>
      <w:pPr>
        <w:pStyle w:val="BodyText"/>
      </w:pPr>
      <w:r>
        <w:t xml:space="preserve">Los dos shocks del período no son solo controles estadísticos; sus efectos</w:t>
      </w:r>
      <w:r>
        <w:t xml:space="preserve"> </w:t>
      </w:r>
      <w:r>
        <w:t xml:space="preserve">diferenciales sobre los tipos de delito ofrecen evidencia adicional sobre los</w:t>
      </w:r>
      <w:r>
        <w:t xml:space="preserve"> </w:t>
      </w:r>
      <w:r>
        <w:t xml:space="preserve">mecanismos propuestos. El estallido social de 2019 activisó específicamente el</w:t>
      </w:r>
      <w:r>
        <w:t xml:space="preserve"> </w:t>
      </w:r>
      <w:r>
        <w:t xml:space="preserve">crimen coercitivo (robos violentos: IRR = 1</w:t>
      </w:r>
      <w:r>
        <w:t xml:space="preserve">,</w:t>
      </w:r>
      <w:r>
        <w:t xml:space="preserve">155,</w:t>
      </w:r>
      <w:r>
        <w:t xml:space="preserve"> </w:t>
      </w:r>
      <m:oMath>
        <m:r>
          <m:t>p</m:t>
        </m:r>
        <m:r>
          <m:rPr>
            <m:sty m:val="p"/>
          </m:rPr>
          <m:t>&lt;</m:t>
        </m:r>
        <m:r>
          <m:t>0</m:t>
        </m:r>
        <m:r>
          <m:rPr>
            <m:sty m:val="p"/>
          </m:rPr>
          <m:t>,</m:t>
        </m:r>
        <m:r>
          <m:t>001</m:t>
        </m:r>
      </m:oMath>
      <w:r>
        <w:t xml:space="preserve">) sin afectar a los</w:t>
      </w:r>
      <w:r>
        <w:t xml:space="preserve"> </w:t>
      </w:r>
      <w:r>
        <w:t xml:space="preserve">robos sin contacto directo (no violentos: IRR = 0</w:t>
      </w:r>
      <w:r>
        <w:t xml:space="preserve">,</w:t>
      </w:r>
      <w:r>
        <w:t xml:space="preserve">996,</w:t>
      </w:r>
      <w:r>
        <w:t xml:space="preserve"> </w:t>
      </w:r>
      <m:oMath>
        <m:r>
          <m:t>p</m:t>
        </m:r>
        <m:r>
          <m:rPr>
            <m:sty m:val="p"/>
          </m:rPr>
          <m:t>=</m:t>
        </m:r>
        <m:r>
          <m:t>0</m:t>
        </m:r>
        <m:r>
          <m:rPr>
            <m:sty m:val="p"/>
          </m:rPr>
          <m:t>,</m:t>
        </m:r>
        <m:r>
          <m:t>761</m:t>
        </m:r>
      </m:oMath>
      <w:r>
        <w:t xml:space="preserve">), en línea con</w:t>
      </w:r>
      <w:r>
        <w:t xml:space="preserve"> </w:t>
      </w:r>
      <w:r>
        <w:t xml:space="preserve">el mecanismo de erosión del control social informal que</w:t>
      </w:r>
      <w:r>
        <w:t xml:space="preserve"> </w:t>
      </w:r>
      <w:r>
        <w:t xml:space="preserve">Tyler (2006)</w:t>
      </w:r>
      <w:r>
        <w:t xml:space="preserve"> </w:t>
      </w:r>
      <w:r>
        <w:t xml:space="preserve">y</w:t>
      </w:r>
      <w:r>
        <w:t xml:space="preserve"> </w:t>
      </w:r>
      <w:r>
        <w:t xml:space="preserve">Rosenfeld, Abt, and Lopez (2021)</w:t>
      </w:r>
      <w:r>
        <w:t xml:space="preserve"> </w:t>
      </w:r>
      <w:r>
        <w:t xml:space="preserve">asocian a la pérdida de legitimidad institucional. La pandemia,</w:t>
      </w:r>
      <w:r>
        <w:t xml:space="preserve"> </w:t>
      </w:r>
      <w:r>
        <w:t xml:space="preserve">en cambio, contrajo la oportunidad para todos los tipos de delito de forma proporcional</w:t>
      </w:r>
      <w:r>
        <w:t xml:space="preserve"> </w:t>
      </w:r>
      <w:r>
        <w:t xml:space="preserve">a su dependencia de la circulación urbana (sorpresa:</w:t>
      </w:r>
      <w:r>
        <w:t xml:space="preserve"> </w:t>
      </w:r>
      <m:oMath>
        <m:r>
          <m:rPr>
            <m:sty m:val="p"/>
          </m:rPr>
          <m:t>−</m:t>
        </m:r>
        <m:r>
          <m:t>42</m:t>
        </m:r>
        <m:r>
          <m:rPr>
            <m:sty m:val="p"/>
          </m:rPr>
          <m:t>,</m:t>
        </m:r>
        <m:r>
          <m:t>4</m:t>
        </m:r>
      </m:oMath>
      <w:r>
        <w:t xml:space="preserve">%; violentos:</w:t>
      </w:r>
      <w:r>
        <w:t xml:space="preserve"> </w:t>
      </w:r>
      <m:oMath>
        <m:r>
          <m:rPr>
            <m:sty m:val="p"/>
          </m:rPr>
          <m:t>−</m:t>
        </m:r>
        <m:r>
          <m:t>34</m:t>
        </m:r>
        <m:r>
          <m:rPr>
            <m:sty m:val="p"/>
          </m:rPr>
          <m:t>,</m:t>
        </m:r>
        <m:r>
          <m:t>9</m:t>
        </m:r>
      </m:oMath>
      <w:r>
        <w:t xml:space="preserve">%),</w:t>
      </w:r>
      <w:r>
        <w:t xml:space="preserve"> </w:t>
      </w:r>
      <w:r>
        <w:t xml:space="preserve">consistente con la teoría de las actividades rutinarias</w:t>
      </w:r>
      <w:r>
        <w:t xml:space="preserve"> </w:t>
      </w:r>
      <w:r>
        <w:t xml:space="preserve">(Cohen and Felson 1979; Ashby 2020; Stickle and Felson 2020)</w:t>
      </w:r>
      <w:r>
        <w:t xml:space="preserve"> </w:t>
      </w:r>
      <w:r>
        <w:t xml:space="preserve">y con la perspectiva económica: las</w:t>
      </w:r>
      <w:r>
        <w:t xml:space="preserve"> </w:t>
      </w:r>
      <w:r>
        <w:t xml:space="preserve">cuarentenas elevaron los costos del delito de aglomeración y dejaron comparativamente</w:t>
      </w:r>
      <w:r>
        <w:t xml:space="preserve"> </w:t>
      </w:r>
      <w:r>
        <w:t xml:space="preserve">más accesible el delito coercitivo</w:t>
      </w:r>
      <w:r>
        <w:t xml:space="preserve"> </w:t>
      </w:r>
      <w:r>
        <w:t xml:space="preserve">(Becker 1968)</w:t>
      </w:r>
      <w:r>
        <w:t xml:space="preserve">. Estos resultados son</w:t>
      </w:r>
      <w:r>
        <w:t xml:space="preserve"> </w:t>
      </w:r>
      <w:r>
        <w:t xml:space="preserve">coherentes con la evidencia comparada sobre protestas masivas</w:t>
      </w:r>
      <w:r>
        <w:t xml:space="preserve"> </w:t>
      </w:r>
      <w:r>
        <w:t xml:space="preserve">(Bell, Jaitman, and Machin 2014; Mongale 2022)</w:t>
      </w:r>
      <w:r>
        <w:t xml:space="preserve"> </w:t>
      </w:r>
      <w:r>
        <w:t xml:space="preserve">y sobre impactos pandémicos en los patrones delictuales</w:t>
      </w:r>
      <w:r>
        <w:t xml:space="preserve"> </w:t>
      </w:r>
      <w:r>
        <w:t xml:space="preserve">(Ashby 2020; Stickle and Felson 2020)</w:t>
      </w:r>
      <w:r>
        <w:t xml:space="preserve">.</w:t>
      </w:r>
    </w:p>
    <w:p>
      <w:pPr>
        <w:pStyle w:val="BodyText"/>
      </w:pPr>
      <w:r>
        <w:t xml:space="preserve">La trayectoria post-pandemia replica el patrón que</w:t>
      </w:r>
      <w:r>
        <w:t xml:space="preserve"> </w:t>
      </w:r>
      <w:r>
        <w:t xml:space="preserve">Blumstein et al. (1988)</w:t>
      </w:r>
      <w:r>
        <w:t xml:space="preserve"> </w:t>
      </w:r>
      <w:r>
        <w:t xml:space="preserve">identificó</w:t>
      </w:r>
      <w:r>
        <w:t xml:space="preserve"> </w:t>
      </w:r>
      <w:r>
        <w:t xml:space="preserve">en descensos sostenidos de la criminalidad: los delitos de mayor lesividad exhiben</w:t>
      </w:r>
      <w:r>
        <w:t xml:space="preserve"> </w:t>
      </w:r>
      <w:r>
        <w:t xml:space="preserve">mayor resistencia a la baja que los oportunistas. Los robos no violentos no se</w:t>
      </w:r>
      <w:r>
        <w:t xml:space="preserve"> </w:t>
      </w:r>
      <w:r>
        <w:t xml:space="preserve">recuperaron tras la normalización de la movilidad; su declive estructural—vinculado</w:t>
      </w:r>
      <w:r>
        <w:t xml:space="preserve"> </w:t>
      </w:r>
      <w:r>
        <w:t xml:space="preserve">a cambios permanentes en las rutinas post-COVID, la expansión del comercio</w:t>
      </w:r>
      <w:r>
        <w:t xml:space="preserve"> </w:t>
      </w:r>
      <w:r>
        <w:t xml:space="preserve">electrónico y la mayor seguridad residencial</w:t>
      </w:r>
      <w:r>
        <w:t xml:space="preserve"> </w:t>
      </w:r>
      <w:r>
        <w:t xml:space="preserve">(Seyidoglu et al. 2024)</w:t>
      </w:r>
      <w:r>
        <w:t xml:space="preserve">—absorbió y</w:t>
      </w:r>
      <w:r>
        <w:t xml:space="preserve"> </w:t>
      </w:r>
      <w:r>
        <w:t xml:space="preserve">superó cualquier componente de rebote. Los robos violentos, en cambio, recuperaron</w:t>
      </w:r>
      <w:r>
        <w:t xml:space="preserve"> </w:t>
      </w:r>
      <w:r>
        <w:t xml:space="preserve">el nivel de referencia en 2022–2023 e iniciaron una inflexión descendente confirmada</w:t>
      </w:r>
      <w:r>
        <w:t xml:space="preserve"> </w:t>
      </w:r>
      <w:r>
        <w:t xml:space="preserve">en el Spline 4 (IRR = 0</w:t>
      </w:r>
      <w:r>
        <w:t xml:space="preserve">,</w:t>
      </w:r>
      <w:r>
        <w:t xml:space="preserve">868,</w:t>
      </w:r>
      <w:r>
        <w:t xml:space="preserve"> </w:t>
      </w:r>
      <m:oMath>
        <m:r>
          <m:t>p</m:t>
        </m:r>
        <m:r>
          <m:rPr>
            <m:sty m:val="p"/>
          </m:rPr>
          <m:t>=</m:t>
        </m:r>
        <m:r>
          <m:t>0</m:t>
        </m:r>
        <m:r>
          <m:rPr>
            <m:sty m:val="p"/>
          </m:rPr>
          <m:t>,</m:t>
        </m:r>
        <m:r>
          <m:t>057</m:t>
        </m:r>
      </m:oMath>
      <w:r>
        <w:t xml:space="preserve">), sugestiva aunque en el límite de la</w:t>
      </w:r>
      <w:r>
        <w:t xml:space="preserve"> </w:t>
      </w:r>
      <w:r>
        <w:t xml:space="preserve">significancia convencional con</w:t>
      </w:r>
      <w:r>
        <w:t xml:space="preserve"> </w:t>
      </w:r>
      <m:oMath>
        <m:r>
          <m:t>G</m:t>
        </m:r>
        <m:r>
          <m:rPr>
            <m:sty m:val="p"/>
          </m:rPr>
          <m:t>=</m:t>
        </m:r>
        <m:r>
          <m:t>16</m:t>
        </m:r>
      </m:oMath>
      <w:r>
        <w:t xml:space="preserve"> </w:t>
      </w:r>
      <w:r>
        <w:t xml:space="preserve">clusters. El ratio creciente es el residuo</w:t>
      </w:r>
      <w:r>
        <w:t xml:space="preserve"> </w:t>
      </w:r>
      <w:r>
        <w:t xml:space="preserve">aritmético de una desigualdad en las velocidades de descenso: los delitos que</w:t>
      </w:r>
      <w:r>
        <w:t xml:space="preserve"> </w:t>
      </w:r>
      <w:r>
        <w:t xml:space="preserve">pueden ejecutarse con menor riesgo se contraen más rápido que los que requieren</w:t>
      </w:r>
      <w:r>
        <w:t xml:space="preserve"> </w:t>
      </w:r>
      <w:r>
        <w:t xml:space="preserve">enfrentar directamente a la víctima.</w:t>
      </w:r>
    </w:p>
    <w:p>
      <w:pPr>
        <w:pStyle w:val="BodyText"/>
      </w:pPr>
      <w:r>
        <w:t xml:space="preserve">La dimensión territorial revela que detrás del agregado nacional operan dinámicas</w:t>
      </w:r>
      <w:r>
        <w:t xml:space="preserve"> </w:t>
      </w:r>
      <w:r>
        <w:t xml:space="preserve">locales cualitativamente distintas. Los tres momentos de quiebre identificados por el</w:t>
      </w:r>
      <w:r>
        <w:t xml:space="preserve"> </w:t>
      </w:r>
      <w:r>
        <w:rPr>
          <w:i/>
          <w:iCs/>
        </w:rPr>
        <w:t xml:space="preserve">CUSUM</w:t>
      </w:r>
      <w:r>
        <w:t xml:space="preserve"> </w:t>
      </w:r>
      <w:r>
        <w:t xml:space="preserve">regional no son variantes de un mismo fenómeno: responden a lógicas propias.</w:t>
      </w:r>
      <w:r>
        <w:t xml:space="preserve"> </w:t>
      </w:r>
      <w:r>
        <w:t xml:space="preserve">Los quiebres pre-pandemia del sur (Araucanía: julio 2018; Biobío: agosto 2018)</w:t>
      </w:r>
      <w:r>
        <w:t xml:space="preserve"> </w:t>
      </w:r>
      <w:r>
        <w:t xml:space="preserve">preceden al estallido social en más de un año y reflejan la escalada del conflicto</w:t>
      </w:r>
      <w:r>
        <w:t xml:space="preserve"> </w:t>
      </w:r>
      <w:r>
        <w:t xml:space="preserve">territorial local, no un shock nacional. En la macrozona Norte, los quiebres en robos</w:t>
      </w:r>
      <w:r>
        <w:t xml:space="preserve"> </w:t>
      </w:r>
      <w:r>
        <w:t xml:space="preserve">violentos se concentraron en 2021–2023, cronológicamente posteriores a los</w:t>
      </w:r>
      <w:r>
        <w:t xml:space="preserve"> </w:t>
      </w:r>
      <w:r>
        <w:t xml:space="preserve">indicadores de violencia letal de ese territorio en el período 2016–2019 (Spline 2</w:t>
      </w:r>
      <w:r>
        <w:t xml:space="preserve"> </w:t>
      </w:r>
      <w:r>
        <w:t xml:space="preserve">de homicidios en Norte: IRR = 2</w:t>
      </w:r>
      <w:r>
        <w:t xml:space="preserve">,</w:t>
      </w:r>
      <w:r>
        <w:t xml:space="preserve">25); esta disociación temporal es consistente con</w:t>
      </w:r>
      <w:r>
        <w:t xml:space="preserve"> </w:t>
      </w:r>
      <w:r>
        <w:t xml:space="preserve">la hipótesis de una presencia creciente de modalidades organizadas en la zona, aunque</w:t>
      </w:r>
      <w:r>
        <w:t xml:space="preserve"> </w:t>
      </w:r>
      <w:r>
        <w:t xml:space="preserve">la evidencia de este artículo no permite establecer causalidad en esa dirección</w:t>
      </w:r>
      <w:r>
        <w:t xml:space="preserve"> </w:t>
      </w:r>
      <w:r>
        <w:t xml:space="preserve">(Greene, Astraín, and Salas 2023; Dammert, Frey, and González 2025)</w:t>
      </w:r>
      <w:r>
        <w:t xml:space="preserve">. La convergencia de los IRR de macrozona hacia la</w:t>
      </w:r>
      <w:r>
        <w:t xml:space="preserve"> </w:t>
      </w:r>
      <w:r>
        <w:t xml:space="preserve">unidad en el Spline 4 confirma que la inflexión descendente reciente es un fenómeno</w:t>
      </w:r>
      <w:r>
        <w:t xml:space="preserve"> </w:t>
      </w:r>
      <w:r>
        <w:t xml:space="preserve">de alcance nacional, pero que el trayecto hasta ese punto fue geográficamente</w:t>
      </w:r>
      <w:r>
        <w:t xml:space="preserve"> </w:t>
      </w:r>
      <w:r>
        <w:t xml:space="preserve">heterogéneo.</w:t>
      </w:r>
    </w:p>
    <w:p>
      <w:pPr>
        <w:pStyle w:val="BodyText"/>
      </w:pPr>
      <w:r>
        <w:t xml:space="preserve">Bajo la tendencia agregada se identifica una señal que merece seguimiento específico</w:t>
      </w:r>
      <w:r>
        <w:t xml:space="preserve"> </w:t>
      </w:r>
      <w:r>
        <w:t xml:space="preserve">dentro del grupo de robos violentos: el robo con retención de víctimas o lesiones</w:t>
      </w:r>
      <w:r>
        <w:t xml:space="preserve"> </w:t>
      </w:r>
      <w:r>
        <w:t xml:space="preserve">graves (CUM 862), cuya frecuencia creció de 83 casos en 2022 a 283 en 2025. El</w:t>
      </w:r>
      <w:r>
        <w:t xml:space="preserve"> </w:t>
      </w:r>
      <w:r>
        <w:t xml:space="preserve">incremento porcentual (+263%) refleja en parte la base de comparación reducida—este</w:t>
      </w:r>
      <w:r>
        <w:t xml:space="preserve"> </w:t>
      </w:r>
      <w:r>
        <w:t xml:space="preserve">delito representa menos del 0</w:t>
      </w:r>
      <w:r>
        <w:t xml:space="preserve">,</w:t>
      </w:r>
      <w:r>
        <w:t xml:space="preserve">1% del grupo total—, pero la tendencia es sostenida y</w:t>
      </w:r>
      <w:r>
        <w:t xml:space="preserve"> </w:t>
      </w:r>
      <w:r>
        <w:t xml:space="preserve">la modalidad implica coerción o violencia directa prolongada sobre la víctima, lo</w:t>
      </w:r>
      <w:r>
        <w:t xml:space="preserve"> </w:t>
      </w:r>
      <w:r>
        <w:t xml:space="preserve">que la distingue cualitativamente del robo patrimonial convencional y justifica un</w:t>
      </w:r>
      <w:r>
        <w:t xml:space="preserve"> </w:t>
      </w:r>
      <w:r>
        <w:t xml:space="preserve">seguimiento diferenciado.</w:t>
      </w:r>
      <w:r>
        <w:t xml:space="preserve"> </w:t>
      </w:r>
      <w:r>
        <w:t xml:space="preserve">Esta señal es coherente con el resultado del placebo P3 (secuestros CCH: Spline 4</w:t>
      </w:r>
      <w:r>
        <w:t xml:space="preserve"> </w:t>
      </w:r>
      <w:r>
        <w:t xml:space="preserve">IRR = 1</w:t>
      </w:r>
      <w:r>
        <w:t xml:space="preserve">,</w:t>
      </w:r>
      <w:r>
        <w:t xml:space="preserve">553,</w:t>
      </w:r>
      <w:r>
        <w:t xml:space="preserve"> </w:t>
      </w:r>
      <m:oMath>
        <m:r>
          <m:t>p</m:t>
        </m:r>
        <m:r>
          <m:rPr>
            <m:sty m:val="p"/>
          </m:rPr>
          <m:t>&lt;</m:t>
        </m:r>
        <m:r>
          <m:t>0</m:t>
        </m:r>
        <m:r>
          <m:rPr>
            <m:sty m:val="p"/>
          </m:rPr>
          <m:t>,</m:t>
        </m:r>
        <m:r>
          <m:t>001</m:t>
        </m:r>
      </m:oMath>
      <w:r>
        <w:t xml:space="preserve">): algunas modalidades coercitivas específicas muestran</w:t>
      </w:r>
      <w:r>
        <w:t xml:space="preserve"> </w:t>
      </w:r>
      <w:r>
        <w:t xml:space="preserve">expansión en el período reciente precisamente cuando el volumen agregado de robos</w:t>
      </w:r>
      <w:r>
        <w:t xml:space="preserve"> </w:t>
      </w:r>
      <w:r>
        <w:t xml:space="preserve">violentos se modera, lo que ilustra por qué la distinción entre volumen y</w:t>
      </w:r>
      <w:r>
        <w:t xml:space="preserve"> </w:t>
      </w:r>
      <w:r>
        <w:t xml:space="preserve">composición no es solo analíticamente relevante, sino políticamente urgente.</w:t>
      </w:r>
    </w:p>
    <w:p>
      <w:pPr>
        <w:pStyle w:val="BodyText"/>
      </w:pPr>
      <w:r>
        <w:t xml:space="preserve">La distinción entre volumen y composición tiene consecuencias directas para el</w:t>
      </w:r>
      <w:r>
        <w:t xml:space="preserve"> </w:t>
      </w:r>
      <w:r>
        <w:t xml:space="preserve">diseño de intervenciones. Una respuesta de volumen—mayor dotación policial para</w:t>
      </w:r>
      <w:r>
        <w:t xml:space="preserve"> </w:t>
      </w:r>
      <w:r>
        <w:t xml:space="preserve">reducir el total de hechos—no está orientada al problema cuando la dinámica es</w:t>
      </w:r>
      <w:r>
        <w:t xml:space="preserve"> </w:t>
      </w:r>
      <w:r>
        <w:t xml:space="preserve">compositiva: reduciría los no violentos, que ya declinan por razones estructurales,</w:t>
      </w:r>
      <w:r>
        <w:t xml:space="preserve"> </w:t>
      </w:r>
      <w:r>
        <w:t xml:space="preserve">sin atacar los fenómenos coercitivos de alta lesividad. Las intervenciones efectivas</w:t>
      </w:r>
      <w:r>
        <w:t xml:space="preserve"> </w:t>
      </w:r>
      <w:r>
        <w:t xml:space="preserve">requieren enfoque diferenciado por tipo de delito y por las dinámicas específicas</w:t>
      </w:r>
      <w:r>
        <w:t xml:space="preserve"> </w:t>
      </w:r>
      <w:r>
        <w:t xml:space="preserve">de cada modalidad emergente.</w:t>
      </w:r>
    </w:p>
    <w:p>
      <w:pPr>
        <w:pStyle w:val="BodyText"/>
      </w:pPr>
      <w:r>
        <w:t xml:space="preserve">Cinco limitaciones deben considerarse. El efecto de la Comisaria Virtual sobre la</w:t>
      </w:r>
      <w:r>
        <w:t xml:space="preserve"> </w:t>
      </w:r>
      <w:r>
        <w:t xml:space="preserve">propensión a denunciar no puede controlarse directamente, aunque su dirección</w:t>
      </w:r>
      <w:r>
        <w:t xml:space="preserve"> </w:t>
      </w:r>
      <w:r>
        <w:t xml:space="preserve">sesgaría el hallazgo principal en dirección contraria—inflando los no</w:t>
      </w:r>
      <w:r>
        <w:t xml:space="preserve"> </w:t>
      </w:r>
      <w:r>
        <w:t xml:space="preserve">violentos, no los violentos. El robo de vehículo con violencia o intimidación (CUM 867) presenta volumen</w:t>
      </w:r>
      <w:r>
        <w:t xml:space="preserve"> </w:t>
      </w:r>
      <w:r>
        <w:t xml:space="preserve">significativo solo desde 2020, lo que limita la comparabilidad histórica de este</w:t>
      </w:r>
      <w:r>
        <w:t xml:space="preserve"> </w:t>
      </w:r>
      <w:r>
        <w:t xml:space="preserve">segmento dentro del grupo de robos violentos. El número reducido de</w:t>
      </w:r>
      <w:r>
        <w:t xml:space="preserve"> </w:t>
      </w:r>
      <w:r>
        <w:t xml:space="preserve">clusters (</w:t>
      </w:r>
      <m:oMath>
        <m:r>
          <m:t>G</m:t>
        </m:r>
        <m:r>
          <m:rPr>
            <m:sty m:val="p"/>
          </m:rPr>
          <m:t>=</m:t>
        </m:r>
        <m:r>
          <m:t>16</m:t>
        </m:r>
      </m:oMath>
      <w:r>
        <w:t xml:space="preserve">) hace que el p-valor del Spline 4 de robos violentos (</w:t>
      </w:r>
      <m:oMath>
        <m:r>
          <m:t>p</m:t>
        </m:r>
        <m:r>
          <m:rPr>
            <m:sty m:val="p"/>
          </m:rPr>
          <m:t>=</m:t>
        </m:r>
        <m:r>
          <m:t>0</m:t>
        </m:r>
        <m:r>
          <m:rPr>
            <m:sty m:val="p"/>
          </m:rPr>
          <m:t>,</m:t>
        </m:r>
        <m:r>
          <m:t>057</m:t>
        </m:r>
      </m:oMath>
      <w:r>
        <w:t xml:space="preserve">)</w:t>
      </w:r>
      <w:r>
        <w:t xml:space="preserve"> </w:t>
      </w:r>
      <w:r>
        <w:t xml:space="preserve">deba interpretarse con cautela, aunque su consistencia con cinco de las seis</w:t>
      </w:r>
      <w:r>
        <w:t xml:space="preserve"> </w:t>
      </w:r>
      <w:r>
        <w:t xml:space="preserve">especificaciones de robustez, los placebos y el análisis descriptivo atenúa</w:t>
      </w:r>
      <w:r>
        <w:t xml:space="preserve"> </w:t>
      </w:r>
      <w:r>
        <w:t xml:space="preserve">esta limitación. El corrector SERMIG es una cota inferior de la población</w:t>
      </w:r>
      <w:r>
        <w:t xml:space="preserve"> </w:t>
      </w:r>
      <w:r>
        <w:t xml:space="preserve">real; el análisis de sensibilidad muestra invariancia del coeficiente bajo</w:t>
      </w:r>
      <w:r>
        <w:t xml:space="preserve"> </w:t>
      </w:r>
      <w:r>
        <w:t xml:space="preserve">distintos supuestos de población irregular (</w:t>
      </w:r>
      <m:oMath>
        <m:r>
          <m:t>k</m:t>
        </m:r>
        <m:r>
          <m:rPr>
            <m:sty m:val="p"/>
          </m:rPr>
          <m:t>∈</m:t>
        </m:r>
        <m:r>
          <m:rPr>
            <m:sty m:val="p"/>
          </m:rPr>
          <m:t>{</m:t>
        </m:r>
        <m:r>
          <m:t>1</m:t>
        </m:r>
        <m:r>
          <m:rPr>
            <m:sty m:val="p"/>
          </m:rPr>
          <m:t>,</m:t>
        </m:r>
        <m:r>
          <m:t>00</m:t>
        </m:r>
        <m:r>
          <m:rPr>
            <m:nor/>
            <m:sty m:val="p"/>
          </m:rPr>
          <m:t>–</m:t>
        </m:r>
        <m:r>
          <m:t>1</m:t>
        </m:r>
        <m:r>
          <m:rPr>
            <m:sty m:val="p"/>
          </m:rPr>
          <m:t>,</m:t>
        </m:r>
        <m:r>
          <m:t>20</m:t>
        </m:r>
        <m:r>
          <m:rPr>
            <m:sty m:val="p"/>
          </m:rPr>
          <m:t>}</m:t>
        </m:r>
      </m:oMath>
      <w:r>
        <w:t xml:space="preserve">).</w:t>
      </w:r>
      <w:r>
        <w:t xml:space="preserve"> </w:t>
      </w:r>
      <w:r>
        <w:t xml:space="preserve">Finalmente, el análisis opera a nivel regional y no captura la heterogeneidad</w:t>
      </w:r>
      <w:r>
        <w:t xml:space="preserve"> </w:t>
      </w:r>
      <w:r>
        <w:t xml:space="preserve">intra-regional potencialmente crítica para el diseño de intervenciones locales.</w:t>
      </w:r>
    </w:p>
    <w:p>
      <w:pPr>
        <w:pStyle w:val="BodyText"/>
      </w:pPr>
      <w:r>
        <w:t xml:space="preserve">La agenda de investigación futura se articula en tres frentes. El perfil del</w:t>
      </w:r>
      <w:r>
        <w:t xml:space="preserve"> </w:t>
      </w:r>
      <w:r>
        <w:t xml:space="preserve">infractor: los datos de denuncias no permiten distinguir entre delincuencia individual</w:t>
      </w:r>
      <w:r>
        <w:t xml:space="preserve"> </w:t>
      </w:r>
      <w:r>
        <w:t xml:space="preserve">de mayor lesividad y estructuras organizadas; un análisis del embudo de</w:t>
      </w:r>
      <w:r>
        <w:t xml:space="preserve"> </w:t>
      </w:r>
      <w:r>
        <w:t xml:space="preserve">judicialización—desde la denuncia hasta la condena—podría estimar esta</w:t>
      </w:r>
      <w:r>
        <w:t xml:space="preserve"> </w:t>
      </w:r>
      <w:r>
        <w:t xml:space="preserve">composición. El análisis a nivel comunal: los 346 municipios ofrecen variación</w:t>
      </w:r>
      <w:r>
        <w:t xml:space="preserve"> </w:t>
      </w:r>
      <w:r>
        <w:t xml:space="preserve">suficiente para examinar si el cambio compositivo es homogéneo al interior de las</w:t>
      </w:r>
      <w:r>
        <w:t xml:space="preserve"> </w:t>
      </w:r>
      <w:r>
        <w:t xml:space="preserve">regiones o responde a concentraciones territoriales más finas. El seguimiento de</w:t>
      </w:r>
      <w:r>
        <w:t xml:space="preserve"> </w:t>
      </w:r>
      <w:r>
        <w:t xml:space="preserve">las señales emergentes: si la inflexión descendente del Spline 4 se consolida</w:t>
      </w:r>
      <w:r>
        <w:t xml:space="preserve"> </w:t>
      </w:r>
      <w:r>
        <w:t xml:space="preserve">más allá de 2025, o si la retención de víctimas—hoy de volumen reducido</w:t>
      </w:r>
      <w:r>
        <w:t xml:space="preserve"> </w:t>
      </w:r>
      <w:r>
        <w:t xml:space="preserve">pero crecimiento sostenido—escala hacia una modalidad extorsiva de mayor peso</w:t>
      </w:r>
      <w:r>
        <w:t xml:space="preserve"> </w:t>
      </w:r>
      <w:r>
        <w:t xml:space="preserve">estadístico, son preguntas que solo el monitoreo sistemático puede responder.</w:t>
      </w:r>
    </w:p>
    <w:bookmarkEnd w:id="62"/>
    <w:bookmarkStart w:id="63" w:name="sec:conclusiones"/>
    <w:p>
      <w:pPr>
        <w:pStyle w:val="Heading1"/>
      </w:pPr>
      <w:r>
        <w:t xml:space="preserve">Conclusiones</w:t>
      </w:r>
    </w:p>
    <w:p>
      <w:pPr>
        <w:pStyle w:val="FirstParagraph"/>
      </w:pPr>
      <w:r>
        <w:t xml:space="preserve">Este artículo evaluó si Chile enfrenta una crisis de volumen en los delitos violentos</w:t>
      </w:r>
      <w:r>
        <w:t xml:space="preserve"> </w:t>
      </w:r>
      <w:r>
        <w:t xml:space="preserve">contra la propiedad o un cambio de composición en la delincuencia patrimonial. Los</w:t>
      </w:r>
      <w:r>
        <w:t xml:space="preserve"> </w:t>
      </w:r>
      <w:r>
        <w:t xml:space="preserve">resultados son inequívocos en un sentido y provisionales en otro. De manera</w:t>
      </w:r>
      <w:r>
        <w:t xml:space="preserve"> </w:t>
      </w:r>
      <w:r>
        <w:t xml:space="preserve">inequívoca: los dos tipos que concentran el 93% de los robos violentos</w:t>
      </w:r>
      <w:r>
        <w:t xml:space="preserve"> </w:t>
      </w:r>
      <w:r>
        <w:t xml:space="preserve">—intimidación y violencia directa— registran tasas post-pandemia inferiores a su</w:t>
      </w:r>
      <w:r>
        <w:t xml:space="preserve"> </w:t>
      </w:r>
      <w:r>
        <w:t xml:space="preserve">referencia histórica (2016–2019), y los robos no violentos exhiben un declive secular</w:t>
      </w:r>
      <w:r>
        <w:t xml:space="preserve"> </w:t>
      </w:r>
      <w:r>
        <w:t xml:space="preserve">robusto que alcanza una reducción del 35</w:t>
      </w:r>
      <w:r>
        <w:t xml:space="preserve">,</w:t>
      </w:r>
      <w:r>
        <w:t xml:space="preserve">2% en el período más reciente</w:t>
      </w:r>
      <w:r>
        <w:t xml:space="preserve"> </w:t>
      </w:r>
      <w:r>
        <w:t xml:space="preserve">(Spline 4: IRR = 0</w:t>
      </w:r>
      <w:r>
        <w:t xml:space="preserve">,</w:t>
      </w:r>
      <w:r>
        <w:t xml:space="preserve">648,</w:t>
      </w:r>
      <w:r>
        <w:t xml:space="preserve"> </w:t>
      </w:r>
      <m:oMath>
        <m:r>
          <m:t>p</m:t>
        </m:r>
        <m:r>
          <m:rPr>
            <m:sty m:val="p"/>
          </m:rPr>
          <m:t>&lt;</m:t>
        </m:r>
        <m:r>
          <m:t>0</m:t>
        </m:r>
        <m:r>
          <m:rPr>
            <m:sty m:val="p"/>
          </m:rPr>
          <m:t>,</m:t>
        </m:r>
        <m:r>
          <m:t>001</m:t>
        </m:r>
      </m:oMath>
      <w:r>
        <w:t xml:space="preserve">). El ratio robos violentos sobre el total</w:t>
      </w:r>
      <w:r>
        <w:t xml:space="preserve"> </w:t>
      </w:r>
      <w:r>
        <w:t xml:space="preserve">patrimonial alcanzó su máximo histórico de 21</w:t>
      </w:r>
      <w:r>
        <w:t xml:space="preserve">,</w:t>
      </w:r>
      <w:r>
        <w:t xml:space="preserve">6% en enero de 2024, impulsado no</w:t>
      </w:r>
      <w:r>
        <w:t xml:space="preserve"> </w:t>
      </w:r>
      <w:r>
        <w:t xml:space="preserve">por un aumento del numerador sino por la caída más pronunciada de los delitos sin</w:t>
      </w:r>
      <w:r>
        <w:t xml:space="preserve"> </w:t>
      </w:r>
      <w:r>
        <w:t xml:space="preserve">confrontación directa en el denominador. Esta paradoja—ratio creciente, volumen</w:t>
      </w:r>
      <w:r>
        <w:t xml:space="preserve"> </w:t>
      </w:r>
      <w:r>
        <w:t xml:space="preserve">estabilizado o en inflexión descendente—es el hallazgo central: el debate sobre la</w:t>
      </w:r>
      <w:r>
        <w:t xml:space="preserve"> </w:t>
      </w:r>
      <w:r>
        <w:t xml:space="preserve">“crisis”</w:t>
      </w:r>
      <w:r>
        <w:t xml:space="preserve"> </w:t>
      </w:r>
      <w:r>
        <w:t xml:space="preserve">captura algo real en términos cualitativos, pero sobreestima el fenómeno</w:t>
      </w:r>
      <w:r>
        <w:t xml:space="preserve"> </w:t>
      </w:r>
      <w:r>
        <w:t xml:space="preserve">al confundir volumen con composición. De manera provisional: la inflexión</w:t>
      </w:r>
      <w:r>
        <w:t xml:space="preserve"> </w:t>
      </w:r>
      <w:r>
        <w:t xml:space="preserve">descendente del Spline 4 en robos violentos (IRR = 0</w:t>
      </w:r>
      <w:r>
        <w:t xml:space="preserve">,</w:t>
      </w:r>
      <w:r>
        <w:t xml:space="preserve">868,</w:t>
      </w:r>
      <w:r>
        <w:t xml:space="preserve"> </w:t>
      </w:r>
      <m:oMath>
        <m:r>
          <m:t>p</m:t>
        </m:r>
        <m:r>
          <m:rPr>
            <m:sty m:val="p"/>
          </m:rPr>
          <m:t>=</m:t>
        </m:r>
        <m:r>
          <m:t>0</m:t>
        </m:r>
        <m:r>
          <m:rPr>
            <m:sty m:val="p"/>
          </m:rPr>
          <m:t>,</m:t>
        </m:r>
        <m:r>
          <m:t>057</m:t>
        </m:r>
      </m:oMath>
      <w:r>
        <w:t xml:space="preserve">) es sugestiva</w:t>
      </w:r>
      <w:r>
        <w:t xml:space="preserve"> </w:t>
      </w:r>
      <w:r>
        <w:t xml:space="preserve">pero se sitúa en el límite de la significancia convencional con</w:t>
      </w:r>
      <w:r>
        <w:t xml:space="preserve"> </w:t>
      </w:r>
      <m:oMath>
        <m:r>
          <m:t>G</m:t>
        </m:r>
        <m:r>
          <m:rPr>
            <m:sty m:val="p"/>
          </m:rPr>
          <m:t>=</m:t>
        </m:r>
        <m:r>
          <m:t>16</m:t>
        </m:r>
      </m:oMath>
      <w:r>
        <w:t xml:space="preserve"> </w:t>
      </w:r>
      <w:r>
        <w:t xml:space="preserve">clusters;</w:t>
      </w:r>
      <w:r>
        <w:t xml:space="preserve"> </w:t>
      </w:r>
      <w:r>
        <w:t xml:space="preserve">su consolidación depende de los datos de los próximos años.</w:t>
      </w:r>
    </w:p>
    <w:p>
      <w:pPr>
        <w:pStyle w:val="BodyText"/>
      </w:pPr>
      <w:r>
        <w:t xml:space="preserve">Los dos shocks del período ofrecen validación empírica del marco teórico. El</w:t>
      </w:r>
      <w:r>
        <w:t xml:space="preserve"> </w:t>
      </w:r>
      <w:r>
        <w:t xml:space="preserve">estallido social activó específicamente el crimen coercitivo (IRR = 1</w:t>
      </w:r>
      <w:r>
        <w:t xml:space="preserve">,</w:t>
      </w:r>
      <w:r>
        <w:t xml:space="preserve">155,</w:t>
      </w:r>
      <w:r>
        <w:t xml:space="preserve"> </w:t>
      </w:r>
      <m:oMath>
        <m:r>
          <m:t>p</m:t>
        </m:r>
        <m:r>
          <m:rPr>
            <m:sty m:val="p"/>
          </m:rPr>
          <m:t>&lt;</m:t>
        </m:r>
        <m:r>
          <m:t>0</m:t>
        </m:r>
        <m:r>
          <m:rPr>
            <m:sty m:val="p"/>
          </m:rPr>
          <m:t>,</m:t>
        </m:r>
        <m:r>
          <m:t>001</m:t>
        </m:r>
      </m:oMath>
      <w:r>
        <w:t xml:space="preserve">) sin afectar los robos sin contacto directo (IRR = 0</w:t>
      </w:r>
      <w:r>
        <w:t xml:space="preserve">,</w:t>
      </w:r>
      <w:r>
        <w:t xml:space="preserve">996,</w:t>
      </w:r>
      <w:r>
        <w:t xml:space="preserve"> </w:t>
      </w:r>
      <m:oMath>
        <m:r>
          <m:t>p</m:t>
        </m:r>
        <m:r>
          <m:rPr>
            <m:sty m:val="p"/>
          </m:rPr>
          <m:t>=</m:t>
        </m:r>
        <m:r>
          <m:t>0</m:t>
        </m:r>
        <m:r>
          <m:rPr>
            <m:sty m:val="p"/>
          </m:rPr>
          <m:t>,</m:t>
        </m:r>
        <m:r>
          <m:t>761</m:t>
        </m:r>
      </m:oMath>
      <w:r>
        <w:t xml:space="preserve">),</w:t>
      </w:r>
      <w:r>
        <w:t xml:space="preserve"> </w:t>
      </w:r>
      <w:r>
        <w:t xml:space="preserve">consistente con el mecanismo de erosión de legitimidad institucional</w:t>
      </w:r>
      <w:r>
        <w:t xml:space="preserve"> </w:t>
      </w:r>
      <w:r>
        <w:t xml:space="preserve">(Tyler 2006; Rosenfeld, Abt, and Lopez 2021)</w:t>
      </w:r>
      <w:r>
        <w:t xml:space="preserve">. La pandemia contrajo todos los tipos, pero con mayor</w:t>
      </w:r>
      <w:r>
        <w:t xml:space="preserve"> </w:t>
      </w:r>
      <w:r>
        <w:t xml:space="preserve">intensidad en los delitos dependientes de la aglomeración urbana (sorpresa:</w:t>
      </w:r>
      <w:r>
        <w:t xml:space="preserve"> </w:t>
      </w:r>
      <m:oMath>
        <m:r>
          <m:rPr>
            <m:sty m:val="p"/>
          </m:rPr>
          <m:t>−</m:t>
        </m:r>
        <m:r>
          <m:t>42</m:t>
        </m:r>
        <m:r>
          <m:rPr>
            <m:sty m:val="p"/>
          </m:rPr>
          <m:t>,</m:t>
        </m:r>
        <m:r>
          <m:t>4</m:t>
        </m:r>
      </m:oMath>
      <w:r>
        <w:t xml:space="preserve">%; violentos:</w:t>
      </w:r>
      <w:r>
        <w:t xml:space="preserve"> </w:t>
      </w:r>
      <m:oMath>
        <m:r>
          <m:rPr>
            <m:sty m:val="p"/>
          </m:rPr>
          <m:t>−</m:t>
        </m:r>
        <m:r>
          <m:t>34</m:t>
        </m:r>
        <m:r>
          <m:rPr>
            <m:sty m:val="p"/>
          </m:rPr>
          <m:t>,</m:t>
        </m:r>
        <m:r>
          <m:t>9</m:t>
        </m:r>
      </m:oMath>
      <w:r>
        <w:t xml:space="preserve">%), replicando las predicciones de la teoría de las</w:t>
      </w:r>
      <w:r>
        <w:t xml:space="preserve"> </w:t>
      </w:r>
      <w:r>
        <w:t xml:space="preserve">actividades rutinarias</w:t>
      </w:r>
      <w:r>
        <w:t xml:space="preserve"> </w:t>
      </w:r>
      <w:r>
        <w:t xml:space="preserve">(Cohen and Felson 1979)</w:t>
      </w:r>
      <w:r>
        <w:t xml:space="preserve"> </w:t>
      </w:r>
      <w:r>
        <w:t xml:space="preserve">y la perspectiva económica</w:t>
      </w:r>
      <w:r>
        <w:t xml:space="preserve"> </w:t>
      </w:r>
      <w:r>
        <w:t xml:space="preserve">(Becker 1968)</w:t>
      </w:r>
      <w:r>
        <w:t xml:space="preserve">.</w:t>
      </w:r>
      <w:r>
        <w:t xml:space="preserve"> </w:t>
      </w:r>
      <w:r>
        <w:t xml:space="preserve">Los placebos confirman la discriminabilidad del modelo: el cuasidelito vehicular</w:t>
      </w:r>
      <w:r>
        <w:t xml:space="preserve"> </w:t>
      </w:r>
      <w:r>
        <w:t xml:space="preserve">muestra el comportamiento opuesto en Spline 4 (IRR = 2</w:t>
      </w:r>
      <w:r>
        <w:t xml:space="preserve">,</w:t>
      </w:r>
      <w:r>
        <w:t xml:space="preserve">036,</w:t>
      </w:r>
      <w:r>
        <w:t xml:space="preserve"> </w:t>
      </w:r>
      <m:oMath>
        <m:r>
          <m:t>p</m:t>
        </m:r>
        <m:r>
          <m:rPr>
            <m:sty m:val="p"/>
          </m:rPr>
          <m:t>&lt;</m:t>
        </m:r>
        <m:r>
          <m:t>0</m:t>
        </m:r>
        <m:r>
          <m:rPr>
            <m:sty m:val="p"/>
          </m:rPr>
          <m:t>,</m:t>
        </m:r>
        <m:r>
          <m:t>001</m:t>
        </m:r>
      </m:oMath>
      <w:r>
        <w:t xml:space="preserve">), descartando</w:t>
      </w:r>
      <w:r>
        <w:t xml:space="preserve"> </w:t>
      </w:r>
      <w:r>
        <w:t xml:space="preserve">que la inflexión responda a una falla de especificación del modelo. La dimensión territorial</w:t>
      </w:r>
      <w:r>
        <w:t xml:space="preserve"> </w:t>
      </w:r>
      <w:r>
        <w:t xml:space="preserve">revela que la trayectoria nacional agrega dinámicas locales heterogéneas: quiebres</w:t>
      </w:r>
      <w:r>
        <w:t xml:space="preserve"> </w:t>
      </w:r>
      <w:r>
        <w:t xml:space="preserve">pre-pandemia en el sur (</w:t>
      </w:r>
      <w:r>
        <w:rPr>
          <w:i/>
          <w:iCs/>
        </w:rPr>
        <w:t xml:space="preserve">CUSUM</w:t>
      </w:r>
      <w:r>
        <w:t xml:space="preserve">, 2017–2018), quiebres tardíos en el norte (Tarapacá:</w:t>
      </w:r>
      <w:r>
        <w:t xml:space="preserve"> </w:t>
      </w:r>
      <w:r>
        <w:t xml:space="preserve">agosto 2023) coherentes con la presión migratoria y el crimen organizado fronterizo,</w:t>
      </w:r>
      <w:r>
        <w:t xml:space="preserve"> </w:t>
      </w:r>
      <w:r>
        <w:t xml:space="preserve">y convergencia de todas las macrozonas hacia la unidad en el Spline 4, confirmando que</w:t>
      </w:r>
      <w:r>
        <w:t xml:space="preserve"> </w:t>
      </w:r>
      <w:r>
        <w:t xml:space="preserve">la inflexión descendente reciente es un fenómeno de alcance nacional.</w:t>
      </w:r>
    </w:p>
    <w:p>
      <w:pPr>
        <w:pStyle w:val="BodyText"/>
      </w:pPr>
      <w:r>
        <w:t xml:space="preserve">La contribución metodológica es triple: la serie panel de 156 meses con</w:t>
      </w:r>
      <w:r>
        <w:t xml:space="preserve"> </w:t>
      </w:r>
      <w:r>
        <w:t xml:space="preserve">corrección demográfica migratoria, la clasificación tricotómica C3 que hace</w:t>
      </w:r>
      <w:r>
        <w:t xml:space="preserve"> </w:t>
      </w:r>
      <w:r>
        <w:t xml:space="preserve">visible la heterogeneidad que las clasificaciones binarias enmascaran, y la estrategia</w:t>
      </w:r>
      <w:r>
        <w:t xml:space="preserve"> </w:t>
      </w:r>
      <w:r>
        <w:t xml:space="preserve">Poisson-QMLE con</w:t>
      </w:r>
      <w:r>
        <w:t xml:space="preserve"> </w:t>
      </w:r>
      <w:r>
        <w:rPr>
          <w:i/>
          <w:iCs/>
        </w:rPr>
        <w:t xml:space="preserve">Wild Cluster Bootstrap</w:t>
      </w:r>
      <w:r>
        <w:t xml:space="preserve"> </w:t>
      </w:r>
      <w:r>
        <w:t xml:space="preserve">complementada con</w:t>
      </w:r>
      <w:r>
        <w:t xml:space="preserve"> </w:t>
      </w:r>
      <w:r>
        <w:rPr>
          <w:i/>
          <w:iCs/>
        </w:rPr>
        <w:t xml:space="preserve">CUSUM</w:t>
      </w:r>
      <w:r>
        <w:t xml:space="preserve">-GLM regional y</w:t>
      </w:r>
      <w:r>
        <w:t xml:space="preserve"> </w:t>
      </w:r>
      <w:r>
        <w:t xml:space="preserve">triangulación con el CPHDV. Bajo el resultado principal se identifica una señal que</w:t>
      </w:r>
      <w:r>
        <w:t xml:space="preserve"> </w:t>
      </w:r>
      <w:r>
        <w:t xml:space="preserve">merece seguimiento diferenciado: el delito de robo con retención de víctimas o</w:t>
      </w:r>
      <w:r>
        <w:t xml:space="preserve"> </w:t>
      </w:r>
      <w:r>
        <w:t xml:space="preserve">lesiones graves (CUM 862) no registraba denuncias entre 2013 y 2016, apareció en</w:t>
      </w:r>
      <w:r>
        <w:t xml:space="preserve"> </w:t>
      </w:r>
      <w:r>
        <w:t xml:space="preserve">2017 con 40 casos, creció a 83 en 2022 y alcanzó 283 en 2025. Aunque representa</w:t>
      </w:r>
      <w:r>
        <w:t xml:space="preserve"> </w:t>
      </w:r>
      <w:r>
        <w:t xml:space="preserve">menos del 0</w:t>
      </w:r>
      <w:r>
        <w:t xml:space="preserve">,</w:t>
      </w:r>
      <w:r>
        <w:t xml:space="preserve">1% del grupo de robos violentos, la tendencia es sostenida y la</w:t>
      </w:r>
      <w:r>
        <w:t xml:space="preserve"> </w:t>
      </w:r>
      <w:r>
        <w:t xml:space="preserve">modalidad—que implica coerción o violencia directa prolongada sobre la</w:t>
      </w:r>
      <w:r>
        <w:t xml:space="preserve"> </w:t>
      </w:r>
      <w:r>
        <w:t xml:space="preserve">víctima—es cualitativamente distinta del robo patrimonial convencional. No es posible responder a un cambio de composición</w:t>
      </w:r>
      <w:r>
        <w:t xml:space="preserve"> </w:t>
      </w:r>
      <w:r>
        <w:t xml:space="preserve">con las herramientas diseñadas para enfrentar un aumento volumétrico: el foco de</w:t>
      </w:r>
      <w:r>
        <w:t xml:space="preserve"> </w:t>
      </w:r>
      <w:r>
        <w:t xml:space="preserve">la política pública debe estar en los fenómenos emergentes de alta lesividad</w:t>
      </w:r>
      <w:r>
        <w:t xml:space="preserve"> </w:t>
      </w:r>
      <w:r>
        <w:t xml:space="preserve">dentro de los delitos contra la propiedad, no en el recuento agregado que los enmascara.</w:t>
      </w:r>
    </w:p>
    <w:bookmarkEnd w:id="63"/>
    <w:bookmarkStart w:id="65" w:name="ap:clasif"/>
    <w:p>
      <w:pPr>
        <w:pStyle w:val="Heading1"/>
      </w:pPr>
      <w:r>
        <w:t xml:space="preserve">Sensibilidad de clasificación: resultados bajo C1 y C2</w:t>
      </w:r>
    </w:p>
    <w:p>
      <w:pPr>
        <w:pStyle w:val="FirstParagraph"/>
      </w:pPr>
      <w:r>
        <w:t xml:space="preserve">La clasificación C1 (binaria institucional) incluye el robo por sorpresa</w:t>
      </w:r>
      <w:r>
        <w:t xml:space="preserve"> </w:t>
      </w:r>
      <w:r>
        <w:t xml:space="preserve">en la categoría</w:t>
      </w:r>
      <w:r>
        <w:t xml:space="preserve"> </w:t>
      </w:r>
      <w:r>
        <w:t xml:space="preserve">“violento”</w:t>
      </w:r>
      <w:r>
        <w:t xml:space="preserve">, siguiendo la convención oficial. Esto diluye la</w:t>
      </w:r>
      <w:r>
        <w:t xml:space="preserve"> </w:t>
      </w:r>
      <w:r>
        <w:t xml:space="preserve">señal del spline: la dinámica del lanzazo—fuertemente sensible al ciclo de</w:t>
      </w:r>
      <w:r>
        <w:t xml:space="preserve"> </w:t>
      </w:r>
      <w:r>
        <w:t xml:space="preserve">movilidad—se mezcla con la de los robos de alta lesividad, atenuando los coeficientes</w:t>
      </w:r>
      <w:r>
        <w:t xml:space="preserve"> </w:t>
      </w:r>
      <w:r>
        <w:t xml:space="preserve">del trend hasta la no significancia en todos los tramos. La clasificación C2 excluye</w:t>
      </w:r>
      <w:r>
        <w:t xml:space="preserve"> </w:t>
      </w:r>
      <w:r>
        <w:t xml:space="preserve">la receptación pero mantiene la agrupación binaria, con resultados que convergen</w:t>
      </w:r>
      <w:r>
        <w:t xml:space="preserve"> </w:t>
      </w:r>
      <w:r>
        <w:t xml:space="preserve">con los del modelo C3 violentos (Tabla </w:t>
      </w:r>
      <w:hyperlink w:anchor="tab:clasif">
        <w:r>
          <w:rPr>
            <w:rStyle w:val="Hyperlink"/>
          </w:rPr>
          <w:t xml:space="preserve">9</w:t>
        </w:r>
      </w:hyperlink>
      <w:r>
        <w:t xml:space="preserve">).</w:t>
      </w:r>
    </w:p>
    <w:p>
      <w:pPr>
        <w:pStyle w:val="BodyText"/>
      </w:pPr>
      <w:r>
        <w:t xml:space="preserve">max width=</w:t>
      </w:r>
    </w:p>
    <w:bookmarkStart w:id="64" w:name="tab:clasif"/>
    <w:p>
      <w:pPr>
        <w:pStyle w:val="TableCaption"/>
      </w:pPr>
      <w:r>
        <w:t xml:space="preserve">Comparación de resultados Poisson-QMLE según clasificación binaria</w:t>
      </w:r>
    </w:p>
    <w:tbl>
      <w:tblPr>
        <w:tblStyle w:val="Table"/>
        <w:tblW w:type="auto" w:w="0"/>
        <w:tblLook w:firstRow="1" w:lastRow="0" w:firstColumn="0" w:lastColumn="0" w:noHBand="0" w:noVBand="0" w:val="0020"/>
        <w:tblCaption w:val="Comparación de resultados Poisson-QMLE según clasificación binaria"/>
      </w:tblPr>
      <w:tblGrid>
        <w:gridCol w:w="1131"/>
        <w:gridCol w:w="1131"/>
        <w:gridCol w:w="1131"/>
        <w:gridCol w:w="1131"/>
        <w:gridCol w:w="1131"/>
        <w:gridCol w:w="1131"/>
        <w:gridCol w:w="1131"/>
      </w:tblGrid>
      <w:tr>
        <w:trPr>
          <w:tblHeader w:val="on"/>
        </w:trPr>
        <w:tc>
          <w:tcPr/>
          <w:p>
            <w:pPr>
              <w:pStyle w:val="Compact"/>
            </w:pPr>
          </w:p>
        </w:tc>
        <w:tc>
          <w:tcPr>
            <w:gridSpan w:val="3"/>
          </w:tcPr>
          <w:p>
            <w:pPr>
              <w:pStyle w:val="Compact"/>
              <w:jc w:val="center"/>
            </w:pPr>
            <w:r>
              <w:rPr>
                <w:b/>
                <w:bCs/>
              </w:rPr>
              <w:t xml:space="preserve">C1 (clasificación oficial)</w:t>
            </w:r>
          </w:p>
        </w:tc>
        <w:tc>
          <w:tcPr>
            <w:gridSpan w:val="3"/>
          </w:tcPr>
          <w:p>
            <w:pPr>
              <w:pStyle w:val="Compact"/>
              <w:jc w:val="center"/>
            </w:pPr>
            <w:r>
              <w:rPr>
                <w:b/>
                <w:bCs/>
              </w:rPr>
              <w:t xml:space="preserve">C2 (sin receptación)</w:t>
            </w:r>
          </w:p>
        </w:tc>
      </w:tr>
      <w:tr>
        <w:tc>
          <w:tcPr/>
          <w:p>
            <w:pPr>
              <w:pStyle w:val="Compact"/>
              <w:jc w:val="left"/>
            </w:pPr>
            <w:r>
              <w:t xml:space="preserve">2-4</w:t>
            </w:r>
            <w:r>
              <w:t xml:space="preserve">(lr)</w:t>
            </w:r>
            <w:r>
              <w:t xml:space="preserve">5-7</w:t>
            </w:r>
            <w:r>
              <w:t xml:space="preserve"> </w:t>
            </w:r>
            <w:r>
              <w:rPr>
                <w:b/>
                <w:bCs/>
              </w:rPr>
              <w:t xml:space="preserve">Término</w:t>
            </w:r>
          </w:p>
        </w:tc>
        <w:tc>
          <w:tcPr/>
          <w:p>
            <w:pPr>
              <w:pStyle w:val="Compact"/>
              <w:jc w:val="center"/>
            </w:pPr>
            <w:r>
              <w:t xml:space="preserve">IRR</w:t>
            </w:r>
          </w:p>
        </w:tc>
        <w:tc>
          <w:tcPr/>
          <w:p>
            <w:pPr>
              <w:pStyle w:val="Compact"/>
              <w:jc w:val="center"/>
            </w:pPr>
            <w:r>
              <w:t xml:space="preserve">IC 95%</w:t>
            </w:r>
          </w:p>
        </w:tc>
        <w:tc>
          <w:tcPr/>
          <w:p>
            <w:pPr>
              <w:pStyle w:val="Compact"/>
              <w:jc w:val="center"/>
            </w:pPr>
            <m:oMath>
              <m:r>
                <m:t>p</m:t>
              </m:r>
            </m:oMath>
          </w:p>
        </w:tc>
        <w:tc>
          <w:tcPr/>
          <w:p>
            <w:pPr>
              <w:pStyle w:val="Compact"/>
              <w:jc w:val="center"/>
            </w:pPr>
            <w:r>
              <w:t xml:space="preserve">IRR</w:t>
            </w:r>
          </w:p>
        </w:tc>
        <w:tc>
          <w:tcPr/>
          <w:p>
            <w:pPr>
              <w:pStyle w:val="Compact"/>
              <w:jc w:val="center"/>
            </w:pPr>
            <w:r>
              <w:t xml:space="preserve">IC 95%</w:t>
            </w:r>
          </w:p>
        </w:tc>
        <w:tc>
          <w:tcPr/>
          <w:p>
            <w:pPr>
              <w:pStyle w:val="Compact"/>
              <w:jc w:val="center"/>
            </w:pPr>
            <m:oMath>
              <m:r>
                <m:t>p</m:t>
              </m:r>
            </m:oMath>
          </w:p>
        </w:tc>
      </w:tr>
      <w:tr>
        <w:tc>
          <w:tcPr/>
          <w:p>
            <w:pPr>
              <w:pStyle w:val="Compact"/>
              <w:jc w:val="left"/>
            </w:pPr>
            <m:oMath>
              <m:sSup>
                <m:e>
                  <m:r>
                    <m:t>D</m:t>
                  </m:r>
                </m:e>
                <m:sup>
                  <m:r>
                    <m:rPr>
                      <m:nor/>
                      <m:sty m:val="p"/>
                    </m:rPr>
                    <m:t>est</m:t>
                  </m:r>
                </m:sup>
              </m:sSup>
            </m:oMath>
          </w:p>
        </w:tc>
        <w:tc>
          <w:tcPr/>
          <w:p>
            <w:pPr>
              <w:pStyle w:val="Compact"/>
              <w:jc w:val="center"/>
            </w:pPr>
            <w:r>
              <w:t xml:space="preserve">1</w:t>
            </w:r>
            <w:r>
              <w:t xml:space="preserve">,</w:t>
            </w:r>
            <w:r>
              <w:t xml:space="preserve">132</w:t>
            </w:r>
          </w:p>
        </w:tc>
        <w:tc>
          <w:tcPr/>
          <w:p>
            <w:pPr>
              <w:pStyle w:val="Compact"/>
              <w:jc w:val="center"/>
            </w:pPr>
            <w:r>
              <w:t xml:space="preserve">[1</w:t>
            </w:r>
            <w:r>
              <w:t xml:space="preserve">,</w:t>
            </w:r>
            <w:r>
              <w:t xml:space="preserve">097, 1</w:t>
            </w:r>
            <w:r>
              <w:t xml:space="preserve">,</w:t>
            </w:r>
            <w:r>
              <w:t xml:space="preserve">168]</w:t>
            </w:r>
          </w:p>
        </w:tc>
        <w:tc>
          <w:tcPr/>
          <w:p>
            <w:pPr>
              <w:pStyle w:val="Compact"/>
              <w:jc w:val="center"/>
            </w:pPr>
            <m:oMath>
              <m:r>
                <m:rPr>
                  <m:sty m:val="p"/>
                </m:rPr>
                <m:t>&lt;</m:t>
              </m:r>
            </m:oMath>
            <w:r>
              <w:t xml:space="preserve">.001</w:t>
            </w:r>
          </w:p>
        </w:tc>
        <w:tc>
          <w:tcPr/>
          <w:p>
            <w:pPr>
              <w:pStyle w:val="Compact"/>
              <w:jc w:val="center"/>
            </w:pPr>
            <w:r>
              <w:t xml:space="preserve">1</w:t>
            </w:r>
            <w:r>
              <w:t xml:space="preserve">,</w:t>
            </w:r>
            <w:r>
              <w:t xml:space="preserve">155</w:t>
            </w:r>
          </w:p>
        </w:tc>
        <w:tc>
          <w:tcPr/>
          <w:p>
            <w:pPr>
              <w:pStyle w:val="Compact"/>
              <w:jc w:val="center"/>
            </w:pPr>
            <w:r>
              <w:t xml:space="preserve">[1</w:t>
            </w:r>
            <w:r>
              <w:t xml:space="preserve">,</w:t>
            </w:r>
            <w:r>
              <w:t xml:space="preserve">119, 1</w:t>
            </w:r>
            <w:r>
              <w:t xml:space="preserve">,</w:t>
            </w:r>
            <w:r>
              <w:t xml:space="preserve">192]</w:t>
            </w:r>
          </w:p>
        </w:tc>
        <w:tc>
          <w:tcPr/>
          <w:p>
            <w:pPr>
              <w:pStyle w:val="Compact"/>
              <w:jc w:val="center"/>
            </w:pPr>
            <m:oMath>
              <m:r>
                <m:rPr>
                  <m:sty m:val="p"/>
                </m:rPr>
                <m:t>&lt;</m:t>
              </m:r>
            </m:oMath>
            <w:r>
              <w:t xml:space="preserve">.001</w:t>
            </w:r>
          </w:p>
        </w:tc>
      </w:tr>
      <w:tr>
        <w:tc>
          <w:tcPr/>
          <w:p>
            <w:pPr>
              <w:pStyle w:val="Compact"/>
              <w:jc w:val="left"/>
            </w:pPr>
            <m:oMath>
              <m:sSup>
                <m:e>
                  <m:r>
                    <m:t>D</m:t>
                  </m:r>
                </m:e>
                <m:sup>
                  <m:r>
                    <m:rPr>
                      <m:nor/>
                      <m:sty m:val="p"/>
                    </m:rPr>
                    <m:t>pan</m:t>
                  </m:r>
                </m:sup>
              </m:sSup>
            </m:oMath>
          </w:p>
        </w:tc>
        <w:tc>
          <w:tcPr/>
          <w:p>
            <w:pPr>
              <w:pStyle w:val="Compact"/>
              <w:jc w:val="center"/>
            </w:pPr>
            <w:r>
              <w:t xml:space="preserve">0</w:t>
            </w:r>
            <w:r>
              <w:t xml:space="preserve">,</w:t>
            </w:r>
            <w:r>
              <w:t xml:space="preserve">634</w:t>
            </w:r>
          </w:p>
        </w:tc>
        <w:tc>
          <w:tcPr/>
          <w:p>
            <w:pPr>
              <w:pStyle w:val="Compact"/>
              <w:jc w:val="center"/>
            </w:pPr>
            <w:r>
              <w:t xml:space="preserve">[0</w:t>
            </w:r>
            <w:r>
              <w:t xml:space="preserve">,</w:t>
            </w:r>
            <w:r>
              <w:t xml:space="preserve">609, 0</w:t>
            </w:r>
            <w:r>
              <w:t xml:space="preserve">,</w:t>
            </w:r>
            <w:r>
              <w:t xml:space="preserve">660]</w:t>
            </w:r>
          </w:p>
        </w:tc>
        <w:tc>
          <w:tcPr/>
          <w:p>
            <w:pPr>
              <w:pStyle w:val="Compact"/>
              <w:jc w:val="center"/>
            </w:pPr>
            <m:oMath>
              <m:r>
                <m:rPr>
                  <m:sty m:val="p"/>
                </m:rPr>
                <m:t>&lt;</m:t>
              </m:r>
            </m:oMath>
            <w:r>
              <w:t xml:space="preserve">.001</w:t>
            </w:r>
          </w:p>
        </w:tc>
        <w:tc>
          <w:tcPr/>
          <w:p>
            <w:pPr>
              <w:pStyle w:val="Compact"/>
              <w:jc w:val="center"/>
            </w:pPr>
            <w:r>
              <w:t xml:space="preserve">0</w:t>
            </w:r>
            <w:r>
              <w:t xml:space="preserve">,</w:t>
            </w:r>
            <w:r>
              <w:t xml:space="preserve">651</w:t>
            </w:r>
          </w:p>
        </w:tc>
        <w:tc>
          <w:tcPr/>
          <w:p>
            <w:pPr>
              <w:pStyle w:val="Compact"/>
              <w:jc w:val="center"/>
            </w:pPr>
            <w:r>
              <w:t xml:space="preserve">[0</w:t>
            </w:r>
            <w:r>
              <w:t xml:space="preserve">,</w:t>
            </w:r>
            <w:r>
              <w:t xml:space="preserve">622, 0</w:t>
            </w:r>
            <w:r>
              <w:t xml:space="preserve">,</w:t>
            </w:r>
            <w:r>
              <w:t xml:space="preserve">682]</w:t>
            </w:r>
          </w:p>
        </w:tc>
        <w:tc>
          <w:tcPr/>
          <w:p>
            <w:pPr>
              <w:pStyle w:val="Compact"/>
              <w:jc w:val="center"/>
            </w:pPr>
            <m:oMath>
              <m:r>
                <m:rPr>
                  <m:sty m:val="p"/>
                </m:rPr>
                <m:t>&lt;</m:t>
              </m:r>
            </m:oMath>
            <w:r>
              <w:t xml:space="preserve">.001</w:t>
            </w:r>
          </w:p>
        </w:tc>
      </w:tr>
      <w:tr>
        <w:tc>
          <w:tcPr/>
          <w:p>
            <w:pPr>
              <w:pStyle w:val="Compact"/>
              <w:jc w:val="left"/>
            </w:pPr>
            <w:r>
              <w:t xml:space="preserve">Spline 1</w:t>
            </w:r>
          </w:p>
        </w:tc>
        <w:tc>
          <w:tcPr/>
          <w:p>
            <w:pPr>
              <w:pStyle w:val="Compact"/>
              <w:jc w:val="center"/>
            </w:pPr>
            <w:r>
              <w:t xml:space="preserve">0</w:t>
            </w:r>
            <w:r>
              <w:t xml:space="preserve">,</w:t>
            </w:r>
            <w:r>
              <w:t xml:space="preserve">974</w:t>
            </w:r>
          </w:p>
        </w:tc>
        <w:tc>
          <w:tcPr/>
          <w:p>
            <w:pPr>
              <w:pStyle w:val="Compact"/>
              <w:jc w:val="center"/>
            </w:pPr>
            <w:r>
              <w:t xml:space="preserve">[0</w:t>
            </w:r>
            <w:r>
              <w:t xml:space="preserve">,</w:t>
            </w:r>
            <w:r>
              <w:t xml:space="preserve">797, 1</w:t>
            </w:r>
            <w:r>
              <w:t xml:space="preserve">,</w:t>
            </w:r>
            <w:r>
              <w:t xml:space="preserve">190]</w:t>
            </w:r>
          </w:p>
        </w:tc>
        <w:tc>
          <w:tcPr/>
          <w:p>
            <w:pPr>
              <w:pStyle w:val="Compact"/>
              <w:jc w:val="center"/>
            </w:pPr>
            <w:r>
              <w:t xml:space="preserve">,</w:t>
            </w:r>
            <w:r>
              <w:t xml:space="preserve">795</w:t>
            </w:r>
          </w:p>
        </w:tc>
        <w:tc>
          <w:tcPr/>
          <w:p>
            <w:pPr>
              <w:pStyle w:val="Compact"/>
              <w:jc w:val="center"/>
            </w:pPr>
            <w:r>
              <w:t xml:space="preserve">1</w:t>
            </w:r>
            <w:r>
              <w:t xml:space="preserve">,</w:t>
            </w:r>
            <w:r>
              <w:t xml:space="preserve">178</w:t>
            </w:r>
          </w:p>
        </w:tc>
        <w:tc>
          <w:tcPr/>
          <w:p>
            <w:pPr>
              <w:pStyle w:val="Compact"/>
              <w:jc w:val="center"/>
            </w:pPr>
            <w:r>
              <w:t xml:space="preserve">[0</w:t>
            </w:r>
            <w:r>
              <w:t xml:space="preserve">,</w:t>
            </w:r>
            <w:r>
              <w:t xml:space="preserve">916, 1</w:t>
            </w:r>
            <w:r>
              <w:t xml:space="preserve">,</w:t>
            </w:r>
            <w:r>
              <w:t xml:space="preserve">514]</w:t>
            </w:r>
          </w:p>
        </w:tc>
        <w:tc>
          <w:tcPr/>
          <w:p>
            <w:pPr>
              <w:pStyle w:val="Compact"/>
              <w:jc w:val="center"/>
            </w:pPr>
            <w:r>
              <w:t xml:space="preserve">,</w:t>
            </w:r>
            <w:r>
              <w:t xml:space="preserve">202</w:t>
            </w:r>
          </w:p>
        </w:tc>
      </w:tr>
      <w:tr>
        <w:tc>
          <w:tcPr/>
          <w:p>
            <w:pPr>
              <w:pStyle w:val="Compact"/>
              <w:jc w:val="left"/>
            </w:pPr>
            <w:r>
              <w:t xml:space="preserve">Spline 2</w:t>
            </w:r>
          </w:p>
        </w:tc>
        <w:tc>
          <w:tcPr/>
          <w:p>
            <w:pPr>
              <w:pStyle w:val="Compact"/>
              <w:jc w:val="center"/>
            </w:pPr>
            <w:r>
              <w:t xml:space="preserve">0</w:t>
            </w:r>
            <w:r>
              <w:t xml:space="preserve">,</w:t>
            </w:r>
            <w:r>
              <w:t xml:space="preserve">938</w:t>
            </w:r>
          </w:p>
        </w:tc>
        <w:tc>
          <w:tcPr/>
          <w:p>
            <w:pPr>
              <w:pStyle w:val="Compact"/>
              <w:jc w:val="center"/>
            </w:pPr>
            <w:r>
              <w:t xml:space="preserve">[0</w:t>
            </w:r>
            <w:r>
              <w:t xml:space="preserve">,</w:t>
            </w:r>
            <w:r>
              <w:t xml:space="preserve">867, 1</w:t>
            </w:r>
            <w:r>
              <w:t xml:space="preserve">,</w:t>
            </w:r>
            <w:r>
              <w:t xml:space="preserve">014]</w:t>
            </w:r>
          </w:p>
        </w:tc>
        <w:tc>
          <w:tcPr/>
          <w:p>
            <w:pPr>
              <w:pStyle w:val="Compact"/>
              <w:jc w:val="center"/>
            </w:pPr>
            <w:r>
              <w:t xml:space="preserve">,</w:t>
            </w:r>
            <w:r>
              <w:t xml:space="preserve">107</w:t>
            </w:r>
          </w:p>
        </w:tc>
        <w:tc>
          <w:tcPr/>
          <w:p>
            <w:pPr>
              <w:pStyle w:val="Compact"/>
              <w:jc w:val="center"/>
            </w:pPr>
            <w:r>
              <w:t xml:space="preserve">1</w:t>
            </w:r>
            <w:r>
              <w:t xml:space="preserve">,</w:t>
            </w:r>
            <w:r>
              <w:t xml:space="preserve">136</w:t>
            </w:r>
          </w:p>
        </w:tc>
        <w:tc>
          <w:tcPr/>
          <w:p>
            <w:pPr>
              <w:pStyle w:val="Compact"/>
              <w:jc w:val="center"/>
            </w:pPr>
            <w:r>
              <w:t xml:space="preserve">[0</w:t>
            </w:r>
            <w:r>
              <w:t xml:space="preserve">,</w:t>
            </w:r>
            <w:r>
              <w:t xml:space="preserve">981, 1</w:t>
            </w:r>
            <w:r>
              <w:t xml:space="preserve">,</w:t>
            </w:r>
            <w:r>
              <w:t xml:space="preserve">316]</w:t>
            </w:r>
          </w:p>
        </w:tc>
        <w:tc>
          <w:tcPr/>
          <w:p>
            <w:pPr>
              <w:pStyle w:val="Compact"/>
              <w:jc w:val="center"/>
            </w:pPr>
            <w:r>
              <w:t xml:space="preserve">,</w:t>
            </w:r>
            <w:r>
              <w:t xml:space="preserve">089</w:t>
            </w:r>
          </w:p>
        </w:tc>
      </w:tr>
      <w:tr>
        <w:tc>
          <w:tcPr/>
          <w:p>
            <w:pPr>
              <w:pStyle w:val="Compact"/>
              <w:jc w:val="left"/>
            </w:pPr>
            <w:r>
              <w:t xml:space="preserve">Spline 3</w:t>
            </w:r>
          </w:p>
        </w:tc>
        <w:tc>
          <w:tcPr/>
          <w:p>
            <w:pPr>
              <w:pStyle w:val="Compact"/>
              <w:jc w:val="center"/>
            </w:pPr>
            <w:r>
              <w:t xml:space="preserve">1</w:t>
            </w:r>
            <w:r>
              <w:t xml:space="preserve">,</w:t>
            </w:r>
            <w:r>
              <w:t xml:space="preserve">094</w:t>
            </w:r>
          </w:p>
        </w:tc>
        <w:tc>
          <w:tcPr/>
          <w:p>
            <w:pPr>
              <w:pStyle w:val="Compact"/>
              <w:jc w:val="center"/>
            </w:pPr>
            <w:r>
              <w:t xml:space="preserve">[0</w:t>
            </w:r>
            <w:r>
              <w:t xml:space="preserve">,</w:t>
            </w:r>
            <w:r>
              <w:t xml:space="preserve">936, 1</w:t>
            </w:r>
            <w:r>
              <w:t xml:space="preserve">,</w:t>
            </w:r>
            <w:r>
              <w:t xml:space="preserve">278]</w:t>
            </w:r>
          </w:p>
        </w:tc>
        <w:tc>
          <w:tcPr/>
          <w:p>
            <w:pPr>
              <w:pStyle w:val="Compact"/>
              <w:jc w:val="center"/>
            </w:pPr>
            <w:r>
              <w:t xml:space="preserve">,</w:t>
            </w:r>
            <w:r>
              <w:t xml:space="preserve">257</w:t>
            </w:r>
          </w:p>
        </w:tc>
        <w:tc>
          <w:tcPr/>
          <w:p>
            <w:pPr>
              <w:pStyle w:val="Compact"/>
              <w:jc w:val="center"/>
            </w:pPr>
            <w:r>
              <w:t xml:space="preserve">1</w:t>
            </w:r>
            <w:r>
              <w:t xml:space="preserve">,</w:t>
            </w:r>
            <w:r>
              <w:t xml:space="preserve">187</w:t>
            </w:r>
          </w:p>
        </w:tc>
        <w:tc>
          <w:tcPr/>
          <w:p>
            <w:pPr>
              <w:pStyle w:val="Compact"/>
              <w:jc w:val="center"/>
            </w:pPr>
            <w:r>
              <w:t xml:space="preserve">[1</w:t>
            </w:r>
            <w:r>
              <w:t xml:space="preserve">,</w:t>
            </w:r>
            <w:r>
              <w:t xml:space="preserve">116, 1</w:t>
            </w:r>
            <w:r>
              <w:t xml:space="preserve">,</w:t>
            </w:r>
            <w:r>
              <w:t xml:space="preserve">263]</w:t>
            </w:r>
          </w:p>
        </w:tc>
        <w:tc>
          <w:tcPr/>
          <w:p>
            <w:pPr>
              <w:pStyle w:val="Compact"/>
              <w:jc w:val="center"/>
            </w:pPr>
            <m:oMath>
              <m:r>
                <m:rPr>
                  <m:sty m:val="p"/>
                </m:rPr>
                <m:t>&lt;</m:t>
              </m:r>
            </m:oMath>
            <w:r>
              <w:t xml:space="preserve">.001</w:t>
            </w:r>
          </w:p>
        </w:tc>
      </w:tr>
      <w:tr>
        <w:tc>
          <w:tcPr/>
          <w:p>
            <w:pPr>
              <w:pStyle w:val="Compact"/>
              <w:jc w:val="left"/>
            </w:pPr>
            <w:r>
              <w:rPr>
                <w:b/>
                <w:bCs/>
              </w:rPr>
              <w:t xml:space="preserve">Spline 4</w:t>
            </w:r>
          </w:p>
        </w:tc>
        <w:tc>
          <w:tcPr/>
          <w:p>
            <w:pPr>
              <w:pStyle w:val="Compact"/>
              <w:jc w:val="center"/>
            </w:pPr>
            <w:r>
              <w:t xml:space="preserve">0</w:t>
            </w:r>
            <w:r>
              <w:t xml:space="preserve">,</w:t>
            </w:r>
            <w:r>
              <w:t xml:space="preserve">864</w:t>
            </w:r>
          </w:p>
        </w:tc>
        <w:tc>
          <w:tcPr/>
          <w:p>
            <w:pPr>
              <w:pStyle w:val="Compact"/>
              <w:jc w:val="center"/>
            </w:pPr>
            <w:r>
              <w:t xml:space="preserve">[0</w:t>
            </w:r>
            <w:r>
              <w:t xml:space="preserve">,</w:t>
            </w:r>
            <w:r>
              <w:t xml:space="preserve">652, 1</w:t>
            </w:r>
            <w:r>
              <w:t xml:space="preserve">,</w:t>
            </w:r>
            <w:r>
              <w:t xml:space="preserve">145]</w:t>
            </w:r>
          </w:p>
        </w:tc>
        <w:tc>
          <w:tcPr/>
          <w:p>
            <w:pPr>
              <w:pStyle w:val="Compact"/>
              <w:jc w:val="center"/>
            </w:pPr>
            <w:r>
              <w:t xml:space="preserve">,</w:t>
            </w:r>
            <w:r>
              <w:t xml:space="preserve">308</w:t>
            </w:r>
          </w:p>
        </w:tc>
        <w:tc>
          <w:tcPr/>
          <w:p>
            <w:pPr>
              <w:pStyle w:val="Compact"/>
              <w:jc w:val="center"/>
            </w:pPr>
            <w:r>
              <w:rPr>
                <w:b/>
                <w:bCs/>
              </w:rPr>
              <w:t xml:space="preserve">0</w:t>
            </w:r>
            <w:r>
              <w:rPr>
                <w:b/>
                <w:bCs/>
              </w:rPr>
              <w:t xml:space="preserve">,</w:t>
            </w:r>
            <w:r>
              <w:rPr>
                <w:b/>
                <w:bCs/>
              </w:rPr>
              <w:t xml:space="preserve">868</w:t>
            </w:r>
          </w:p>
        </w:tc>
        <w:tc>
          <w:tcPr/>
          <w:p>
            <w:pPr>
              <w:pStyle w:val="Compact"/>
              <w:jc w:val="center"/>
            </w:pPr>
            <w:r>
              <w:t xml:space="preserve">[0</w:t>
            </w:r>
            <w:r>
              <w:t xml:space="preserve">,</w:t>
            </w:r>
            <w:r>
              <w:t xml:space="preserve">751, 1</w:t>
            </w:r>
            <w:r>
              <w:t xml:space="preserve">,</w:t>
            </w:r>
            <w:r>
              <w:t xml:space="preserve">004]</w:t>
            </w:r>
          </w:p>
        </w:tc>
        <w:tc>
          <w:tcPr/>
          <w:p>
            <w:pPr>
              <w:pStyle w:val="Compact"/>
              <w:jc w:val="center"/>
            </w:pPr>
            <w:r>
              <w:rPr>
                <w:b/>
                <w:bCs/>
              </w:rPr>
              <w:t xml:space="preserve">.057</w:t>
            </w:r>
          </w:p>
        </w:tc>
      </w:tr>
      <w:tr>
        <w:tc>
          <w:tcPr/>
          <w:p>
            <w:pPr>
              <w:pStyle w:val="Compact"/>
              <w:jc w:val="left"/>
            </w:pPr>
            <w:r>
              <w:t xml:space="preserve">Obs.</w:t>
            </w:r>
          </w:p>
        </w:tc>
        <w:tc>
          <w:tcPr/>
          <w:p>
            <w:pPr>
              <w:pStyle w:val="Compact"/>
              <w:jc w:val="center"/>
            </w:pPr>
            <w:r>
              <w:t xml:space="preserve">2.496</w:t>
            </w:r>
          </w:p>
        </w:tc>
        <w:tc>
          <w:tcPr/>
          <w:p>
            <w:pPr>
              <w:pStyle w:val="Compact"/>
            </w:pPr>
          </w:p>
        </w:tc>
        <w:tc>
          <w:tcPr/>
          <w:p>
            <w:pPr>
              <w:pStyle w:val="Compact"/>
            </w:pPr>
          </w:p>
        </w:tc>
        <w:tc>
          <w:tcPr/>
          <w:p>
            <w:pPr>
              <w:pStyle w:val="Compact"/>
              <w:jc w:val="center"/>
            </w:pPr>
            <w:r>
              <w:t xml:space="preserve">2.496</w:t>
            </w:r>
          </w:p>
        </w:tc>
        <w:tc>
          <w:tcPr/>
          <w:p>
            <w:pPr>
              <w:pStyle w:val="Compact"/>
            </w:pPr>
          </w:p>
        </w:tc>
        <w:tc>
          <w:tcPr/>
          <w:p>
            <w:pPr>
              <w:pStyle w:val="Compact"/>
            </w:pPr>
          </w:p>
        </w:tc>
      </w:tr>
    </w:tbl>
    <w:bookmarkEnd w:id="64"/>
    <w:p>
      <w:pPr>
        <w:pStyle w:val="BodyText"/>
      </w:pPr>
      <w:r>
        <w:rPr>
          <w:i/>
          <w:iCs/>
        </w:rPr>
        <w:t xml:space="preserve">Nota:</w:t>
      </w:r>
      <w:r>
        <w:t xml:space="preserve"> </w:t>
      </w:r>
      <w:r>
        <w:t xml:space="preserve">IRR = exp(</w:t>
      </w:r>
      <m:oMath>
        <m:acc>
          <m:accPr>
            <m:chr m:val="̂"/>
          </m:accPr>
          <m:e>
            <m:r>
              <m:t>β</m:t>
            </m:r>
          </m:e>
        </m:acc>
      </m:oMath>
      <w:r>
        <w:t xml:space="preserve">). IC 95% por inversión del WCB (</w:t>
      </w:r>
      <m:oMath>
        <m:r>
          <m:t>B</m:t>
        </m:r>
        <m:r>
          <m:rPr>
            <m:sty m:val="p"/>
          </m:rPr>
          <m:t>=</m:t>
        </m:r>
        <m:r>
          <m:t>9</m:t>
        </m:r>
        <m:r>
          <m:rPr>
            <m:sty m:val="p"/>
          </m:rPr>
          <m:t>,</m:t>
        </m:r>
        <m:r>
          <m:t>999</m:t>
        </m:r>
      </m:oMath>
      <w:r>
        <w:t xml:space="preserve">,</w:t>
      </w:r>
      <w:r>
        <w:t xml:space="preserve"> </w:t>
      </w:r>
      <m:oMath>
        <m:r>
          <m:t>G</m:t>
        </m:r>
        <m:r>
          <m:rPr>
            <m:sty m:val="p"/>
          </m:rPr>
          <m:t>=</m:t>
        </m:r>
        <m:r>
          <m:t>16</m:t>
        </m:r>
      </m:oMath>
      <w:r>
        <w:t xml:space="preserve">). C1 incluye el robo por sorpresa en la categoría</w:t>
      </w:r>
      <w:r>
        <w:t xml:space="preserve"> </w:t>
      </w:r>
      <w:r>
        <w:t xml:space="preserve">“violento”</w:t>
      </w:r>
      <w:r>
        <w:t xml:space="preserve">. C2 excluye la receptación.</w:t>
      </w:r>
      <w:r>
        <w:t xml:space="preserve"> </w:t>
      </w:r>
      <w:r>
        <w:t xml:space="preserve">Los resultados de C2 son equivalentes a los del modelo C3.1 de la</w:t>
      </w:r>
      <w:r>
        <w:t xml:space="preserve"> </w:t>
      </w:r>
      <w:r>
        <w:t xml:space="preserve">Tabla </w:t>
      </w:r>
      <w:hyperlink w:anchor="tab:poisson">
        <w:r>
          <w:rPr>
            <w:rStyle w:val="Hyperlink"/>
          </w:rPr>
          <w:t xml:space="preserve">4</w:t>
        </w:r>
      </w:hyperlink>
      <w:r>
        <w:t xml:space="preserve">. La pérdida de significancia en todos los splines bajo C1</w:t>
      </w:r>
      <w:r>
        <w:t xml:space="preserve"> </w:t>
      </w:r>
      <w:r>
        <w:t xml:space="preserve">refleja la atenuación producida por incluir el lanzazo.</w:t>
      </w:r>
    </w:p>
    <w:bookmarkEnd w:id="65"/>
    <w:bookmarkStart w:id="126" w:name="ap:macro"/>
    <w:p>
      <w:pPr>
        <w:pStyle w:val="Heading1"/>
      </w:pPr>
      <w:r>
        <w:t xml:space="preserve">Heterogeneidad espacial: coeficientes macrozona</w:t>
      </w:r>
      <w:r>
        <w:t xml:space="preserve"> </w:t>
      </w:r>
      <m:oMath>
        <m:r>
          <m:rPr>
            <m:sty m:val="p"/>
          </m:rPr>
          <m:t>×</m:t>
        </m:r>
      </m:oMath>
      <w:r>
        <w:t xml:space="preserve"> </w:t>
      </w:r>
      <w:r>
        <w:t xml:space="preserve">spline</w:t>
      </w:r>
    </w:p>
    <w:p>
      <w:pPr>
        <w:pStyle w:val="FirstParagraph"/>
      </w:pPr>
      <w:r>
        <w:t xml:space="preserve">El modelo de interacciones estima coeficientes para cada tramo del spline en cada</w:t>
      </w:r>
      <w:r>
        <w:t xml:space="preserve"> </w:t>
      </w:r>
      <w:r>
        <w:t xml:space="preserve">macrozona, con Macrozona Austral como referencia. Los IRR de interacción se</w:t>
      </w:r>
      <w:r>
        <w:t xml:space="preserve"> </w:t>
      </w:r>
      <w:r>
        <w:t xml:space="preserve">interpretan como el factor multiplicativo que ajusta la tendencia de cada macrozona</w:t>
      </w:r>
      <w:r>
        <w:t xml:space="preserve"> </w:t>
      </w:r>
      <w:r>
        <w:t xml:space="preserve">respecto de Austral en ese período: un IRR mayor a 1 indica que la macrozona crece</w:t>
      </w:r>
      <w:r>
        <w:t xml:space="preserve"> </w:t>
      </w:r>
      <w:r>
        <w:t xml:space="preserve">(o cae menos) más rápido que Austral (Tabla </w:t>
      </w:r>
      <w:hyperlink w:anchor="tab:macro">
        <w:r>
          <w:rPr>
            <w:rStyle w:val="Hyperlink"/>
          </w:rPr>
          <w:t xml:space="preserve">10</w:t>
        </w:r>
      </w:hyperlink>
      <w:r>
        <w:t xml:space="preserve">).</w:t>
      </w:r>
    </w:p>
    <w:p>
      <w:pPr>
        <w:pStyle w:val="BodyText"/>
      </w:pPr>
      <w:r>
        <w:t xml:space="preserve">max width=</w:t>
      </w:r>
    </w:p>
    <w:bookmarkStart w:id="66" w:name="tab:macro"/>
    <w:p>
      <w:pPr>
        <w:pStyle w:val="TableCaption"/>
      </w:pPr>
      <w:r>
        <w:t xml:space="preserve">IRR de las interacciones macrozona</w:t>
      </w:r>
      <w:r>
        <w:t xml:space="preserve"> </w:t>
      </w:r>
      <m:oMath>
        <m:r>
          <m:rPr>
            <m:sty m:val="p"/>
          </m:rPr>
          <m:t>×</m:t>
        </m:r>
      </m:oMath>
      <w:r>
        <w:t xml:space="preserve"> </w:t>
      </w:r>
      <w:r>
        <w:t xml:space="preserve">spline (referencia: Austral)</w:t>
      </w:r>
    </w:p>
    <w:tbl>
      <w:tblPr>
        <w:tblStyle w:val="Table"/>
        <w:tblW w:type="auto" w:w="0"/>
        <w:tblLook w:firstRow="0" w:lastRow="0" w:firstColumn="0" w:lastColumn="0" w:noHBand="0" w:noVBand="0" w:val="0000"/>
        <w:tblCaption w:val="IRR de las interacciones macrozona \times spline (referencia: Austral)"/>
      </w:tblPr>
      <w:tblGrid>
        <w:gridCol w:w="1584"/>
        <w:gridCol w:w="1584"/>
        <w:gridCol w:w="1584"/>
        <w:gridCol w:w="1584"/>
        <w:gridCol w:w="1584"/>
      </w:tblGrid>
      <w:tr>
        <w:tc>
          <w:tcPr/>
          <w:p>
            <w:pPr>
              <w:pStyle w:val="Compact"/>
              <w:jc w:val="left"/>
            </w:pPr>
            <w:r>
              <w:rPr>
                <w:b/>
                <w:bCs/>
              </w:rPr>
              <w:t xml:space="preserve">Macrozona</w:t>
            </w:r>
          </w:p>
        </w:tc>
        <w:tc>
          <w:tcPr/>
          <w:p>
            <w:pPr>
              <w:pStyle w:val="Compact"/>
              <w:jc w:val="center"/>
            </w:pPr>
            <w:r>
              <w:rPr>
                <w:b/>
                <w:bCs/>
              </w:rPr>
              <w:t xml:space="preserve">Spline 1</w:t>
            </w:r>
          </w:p>
        </w:tc>
        <w:tc>
          <w:tcPr/>
          <w:p>
            <w:pPr>
              <w:pStyle w:val="Compact"/>
              <w:jc w:val="center"/>
            </w:pPr>
            <w:r>
              <w:rPr>
                <w:b/>
                <w:bCs/>
              </w:rPr>
              <w:t xml:space="preserve">Spline 2</w:t>
            </w:r>
          </w:p>
        </w:tc>
        <w:tc>
          <w:tcPr/>
          <w:p>
            <w:pPr>
              <w:pStyle w:val="Compact"/>
              <w:jc w:val="center"/>
            </w:pPr>
            <w:r>
              <w:rPr>
                <w:b/>
                <w:bCs/>
              </w:rPr>
              <w:t xml:space="preserve">Spline 3</w:t>
            </w:r>
          </w:p>
        </w:tc>
        <w:tc>
          <w:tcPr/>
          <w:p>
            <w:pPr>
              <w:pStyle w:val="Compact"/>
              <w:jc w:val="center"/>
            </w:pPr>
            <w:r>
              <w:rPr>
                <w:b/>
                <w:bCs/>
              </w:rPr>
              <w:t xml:space="preserve">Spline 4</w:t>
            </w:r>
          </w:p>
        </w:tc>
      </w:tr>
      <w:tr>
        <w:tc>
          <w:tcPr/>
          <w:p>
            <w:pPr>
              <w:pStyle w:val="Compact"/>
            </w:pPr>
          </w:p>
        </w:tc>
        <w:tc>
          <w:tcPr/>
          <w:p>
            <w:pPr>
              <w:pStyle w:val="Compact"/>
              <w:jc w:val="center"/>
            </w:pPr>
            <w:r>
              <w:t xml:space="preserve">(2013–2016)</w:t>
            </w:r>
          </w:p>
        </w:tc>
        <w:tc>
          <w:tcPr/>
          <w:p>
            <w:pPr>
              <w:pStyle w:val="Compact"/>
              <w:jc w:val="center"/>
            </w:pPr>
            <w:r>
              <w:t xml:space="preserve">(2016–2019)</w:t>
            </w:r>
          </w:p>
        </w:tc>
        <w:tc>
          <w:tcPr/>
          <w:p>
            <w:pPr>
              <w:pStyle w:val="Compact"/>
              <w:jc w:val="center"/>
            </w:pPr>
            <w:r>
              <w:t xml:space="preserve">(2019–2022)</w:t>
            </w:r>
          </w:p>
        </w:tc>
        <w:tc>
          <w:tcPr/>
          <w:p>
            <w:pPr>
              <w:pStyle w:val="Compact"/>
              <w:jc w:val="center"/>
            </w:pPr>
            <w:r>
              <w:t xml:space="preserve">(2022–2025)</w:t>
            </w:r>
          </w:p>
        </w:tc>
      </w:tr>
      <w:tr>
        <w:tc>
          <w:tcPr/>
          <w:p>
            <w:pPr>
              <w:pStyle w:val="Compact"/>
              <w:jc w:val="left"/>
            </w:pPr>
            <w:r>
              <w:t xml:space="preserve">Norte</w:t>
            </w:r>
          </w:p>
        </w:tc>
        <w:tc>
          <w:tcPr/>
          <w:p>
            <w:pPr>
              <w:pStyle w:val="Compact"/>
              <w:jc w:val="center"/>
            </w:pPr>
            <w:r>
              <w:t xml:space="preserve">1</w:t>
            </w:r>
            <w:r>
              <w:t xml:space="preserve">,</w:t>
            </w:r>
            <w:r>
              <w:t xml:space="preserve">41</w:t>
            </w:r>
          </w:p>
        </w:tc>
        <w:tc>
          <w:tcPr/>
          <w:p>
            <w:pPr>
              <w:pStyle w:val="Compact"/>
              <w:jc w:val="center"/>
            </w:pPr>
            <w:r>
              <w:t xml:space="preserve">3</w:t>
            </w:r>
            <w:r>
              <w:t xml:space="preserve">,</w:t>
            </w:r>
            <w:r>
              <w:t xml:space="preserve">94</w:t>
            </w:r>
          </w:p>
        </w:tc>
        <w:tc>
          <w:tcPr/>
          <w:p>
            <w:pPr>
              <w:pStyle w:val="Compact"/>
              <w:jc w:val="center"/>
            </w:pPr>
            <w:r>
              <w:t xml:space="preserve">3</w:t>
            </w:r>
            <w:r>
              <w:t xml:space="preserve">,</w:t>
            </w:r>
            <w:r>
              <w:t xml:space="preserve">25</w:t>
            </w:r>
          </w:p>
        </w:tc>
        <w:tc>
          <w:tcPr/>
          <w:p>
            <w:pPr>
              <w:pStyle w:val="Compact"/>
              <w:jc w:val="center"/>
            </w:pPr>
            <w:r>
              <w:t xml:space="preserve">1</w:t>
            </w:r>
            <w:r>
              <w:t xml:space="preserve">,</w:t>
            </w:r>
            <w:r>
              <w:t xml:space="preserve">08</w:t>
            </w:r>
          </w:p>
        </w:tc>
      </w:tr>
      <w:tr>
        <w:tc>
          <w:tcPr/>
          <w:p>
            <w:pPr>
              <w:pStyle w:val="Compact"/>
              <w:jc w:val="left"/>
            </w:pPr>
            <w:r>
              <w:t xml:space="preserve">Centro</w:t>
            </w:r>
          </w:p>
        </w:tc>
        <w:tc>
          <w:tcPr/>
          <w:p>
            <w:pPr>
              <w:pStyle w:val="Compact"/>
              <w:jc w:val="center"/>
            </w:pPr>
            <w:r>
              <w:t xml:space="preserve">1</w:t>
            </w:r>
            <w:r>
              <w:t xml:space="preserve">,</w:t>
            </w:r>
            <w:r>
              <w:t xml:space="preserve">82</w:t>
            </w:r>
          </w:p>
        </w:tc>
        <w:tc>
          <w:tcPr/>
          <w:p>
            <w:pPr>
              <w:pStyle w:val="Compact"/>
              <w:jc w:val="center"/>
            </w:pPr>
            <w:r>
              <w:t xml:space="preserve">2</w:t>
            </w:r>
            <w:r>
              <w:t xml:space="preserve">,</w:t>
            </w:r>
            <w:r>
              <w:t xml:space="preserve">63</w:t>
            </w:r>
          </w:p>
        </w:tc>
        <w:tc>
          <w:tcPr/>
          <w:p>
            <w:pPr>
              <w:pStyle w:val="Compact"/>
              <w:jc w:val="center"/>
            </w:pPr>
            <w:r>
              <w:t xml:space="preserve">3</w:t>
            </w:r>
            <w:r>
              <w:t xml:space="preserve">,</w:t>
            </w:r>
            <w:r>
              <w:t xml:space="preserve">57</w:t>
            </w:r>
          </w:p>
        </w:tc>
        <w:tc>
          <w:tcPr/>
          <w:p>
            <w:pPr>
              <w:pStyle w:val="Compact"/>
              <w:jc w:val="center"/>
            </w:pPr>
            <w:r>
              <w:t xml:space="preserve">1</w:t>
            </w:r>
            <w:r>
              <w:t xml:space="preserve">,</w:t>
            </w:r>
            <w:r>
              <w:t xml:space="preserve">37</w:t>
            </w:r>
          </w:p>
        </w:tc>
      </w:tr>
      <w:tr>
        <w:tc>
          <w:tcPr/>
          <w:p>
            <w:pPr>
              <w:pStyle w:val="Compact"/>
              <w:jc w:val="left"/>
            </w:pPr>
            <w:r>
              <w:t xml:space="preserve">RM</w:t>
            </w:r>
          </w:p>
        </w:tc>
        <w:tc>
          <w:tcPr/>
          <w:p>
            <w:pPr>
              <w:pStyle w:val="Compact"/>
              <w:jc w:val="center"/>
            </w:pPr>
            <w:r>
              <w:t xml:space="preserve">2</w:t>
            </w:r>
            <w:r>
              <w:t xml:space="preserve">,</w:t>
            </w:r>
            <w:r>
              <w:t xml:space="preserve">68</w:t>
            </w:r>
          </w:p>
        </w:tc>
        <w:tc>
          <w:tcPr/>
          <w:p>
            <w:pPr>
              <w:pStyle w:val="Compact"/>
              <w:jc w:val="center"/>
            </w:pPr>
            <w:r>
              <w:t xml:space="preserve">2</w:t>
            </w:r>
            <w:r>
              <w:t xml:space="preserve">,</w:t>
            </w:r>
            <w:r>
              <w:t xml:space="preserve">22</w:t>
            </w:r>
          </w:p>
        </w:tc>
        <w:tc>
          <w:tcPr/>
          <w:p>
            <w:pPr>
              <w:pStyle w:val="Compact"/>
              <w:jc w:val="center"/>
            </w:pPr>
            <w:r>
              <w:t xml:space="preserve">3</w:t>
            </w:r>
            <w:r>
              <w:t xml:space="preserve">,</w:t>
            </w:r>
            <w:r>
              <w:t xml:space="preserve">03</w:t>
            </w:r>
          </w:p>
        </w:tc>
        <w:tc>
          <w:tcPr/>
          <w:p>
            <w:pPr>
              <w:pStyle w:val="Compact"/>
              <w:jc w:val="center"/>
            </w:pPr>
            <w:r>
              <w:t xml:space="preserve">1</w:t>
            </w:r>
            <w:r>
              <w:t xml:space="preserve">,</w:t>
            </w:r>
            <w:r>
              <w:t xml:space="preserve">46</w:t>
            </w:r>
          </w:p>
        </w:tc>
      </w:tr>
      <w:tr>
        <w:tc>
          <w:tcPr/>
          <w:p>
            <w:pPr>
              <w:pStyle w:val="Compact"/>
              <w:jc w:val="left"/>
            </w:pPr>
            <w:r>
              <w:t xml:space="preserve">Sur</w:t>
            </w:r>
          </w:p>
        </w:tc>
        <w:tc>
          <w:tcPr/>
          <w:p>
            <w:pPr>
              <w:pStyle w:val="Compact"/>
              <w:jc w:val="center"/>
            </w:pPr>
            <w:r>
              <w:t xml:space="preserve">1</w:t>
            </w:r>
            <w:r>
              <w:t xml:space="preserve">,</w:t>
            </w:r>
            <w:r>
              <w:t xml:space="preserve">49</w:t>
            </w:r>
          </w:p>
        </w:tc>
        <w:tc>
          <w:tcPr/>
          <w:p>
            <w:pPr>
              <w:pStyle w:val="Compact"/>
              <w:jc w:val="center"/>
            </w:pPr>
            <w:r>
              <w:t xml:space="preserve">2</w:t>
            </w:r>
            <w:r>
              <w:t xml:space="preserve">,</w:t>
            </w:r>
            <w:r>
              <w:t xml:space="preserve">14</w:t>
            </w:r>
          </w:p>
        </w:tc>
        <w:tc>
          <w:tcPr/>
          <w:p>
            <w:pPr>
              <w:pStyle w:val="Compact"/>
              <w:jc w:val="center"/>
            </w:pPr>
            <w:r>
              <w:t xml:space="preserve">2</w:t>
            </w:r>
            <w:r>
              <w:t xml:space="preserve">,</w:t>
            </w:r>
            <w:r>
              <w:t xml:space="preserve">88</w:t>
            </w:r>
          </w:p>
        </w:tc>
        <w:tc>
          <w:tcPr/>
          <w:p>
            <w:pPr>
              <w:pStyle w:val="Compact"/>
              <w:jc w:val="center"/>
            </w:pPr>
            <w:r>
              <w:t xml:space="preserve">1</w:t>
            </w:r>
            <w:r>
              <w:t xml:space="preserve">,</w:t>
            </w:r>
            <w:r>
              <w:t xml:space="preserve">00</w:t>
            </w:r>
          </w:p>
        </w:tc>
      </w:tr>
      <w:tr>
        <w:tc>
          <w:tcPr/>
          <w:p>
            <w:pPr>
              <w:pStyle w:val="Compact"/>
              <w:jc w:val="left"/>
            </w:pPr>
            <w:r>
              <w:t xml:space="preserve">Austral</w:t>
            </w:r>
          </w:p>
        </w:tc>
        <w:tc>
          <w:tcPr/>
          <w:p>
            <w:pPr>
              <w:pStyle w:val="Compact"/>
              <w:jc w:val="center"/>
            </w:pPr>
            <w:r>
              <w:t xml:space="preserve">ref.</w:t>
            </w:r>
          </w:p>
        </w:tc>
        <w:tc>
          <w:tcPr/>
          <w:p>
            <w:pPr>
              <w:pStyle w:val="Compact"/>
              <w:jc w:val="center"/>
            </w:pPr>
            <w:r>
              <w:t xml:space="preserve">ref.</w:t>
            </w:r>
          </w:p>
        </w:tc>
        <w:tc>
          <w:tcPr/>
          <w:p>
            <w:pPr>
              <w:pStyle w:val="Compact"/>
              <w:jc w:val="center"/>
            </w:pPr>
            <w:r>
              <w:t xml:space="preserve">ref.</w:t>
            </w:r>
          </w:p>
        </w:tc>
        <w:tc>
          <w:tcPr/>
          <w:p>
            <w:pPr>
              <w:pStyle w:val="Compact"/>
              <w:jc w:val="center"/>
            </w:pPr>
            <w:r>
              <w:t xml:space="preserve">ref.</w:t>
            </w:r>
          </w:p>
        </w:tc>
      </w:tr>
      <w:tr>
        <w:tc>
          <w:tcPr>
            <w:gridSpan w:val="5"/>
          </w:tcPr>
          <w:p>
            <w:pPr>
              <w:pStyle w:val="Compact"/>
              <w:jc w:val="left"/>
            </w:pPr>
            <w:r>
              <w:t xml:space="preserve">Test de Wald conjunto (interacciones):</w:t>
            </w:r>
            <w:r>
              <w:t xml:space="preserve"> </w:t>
            </w:r>
            <m:oMath>
              <m:r>
                <m:t>p</m:t>
              </m:r>
              <m:r>
                <m:rPr>
                  <m:sty m:val="p"/>
                </m:rPr>
                <m:t>&lt;</m:t>
              </m:r>
              <m:r>
                <m:t>0</m:t>
              </m:r>
              <m:r>
                <m:rPr>
                  <m:sty m:val="p"/>
                </m:rPr>
                <m:t>,</m:t>
              </m:r>
              <m:r>
                <m:t>001</m:t>
              </m:r>
            </m:oMath>
          </w:p>
        </w:tc>
      </w:tr>
    </w:tbl>
    <w:bookmarkEnd w:id="66"/>
    <w:p>
      <w:pPr>
        <w:pStyle w:val="BodyText"/>
      </w:pPr>
      <w:r>
        <w:rPr>
          <w:i/>
          <w:iCs/>
        </w:rPr>
        <w:t xml:space="preserve">Nota:</w:t>
      </w:r>
      <w:r>
        <w:t xml:space="preserve"> </w:t>
      </w:r>
      <w:r>
        <w:t xml:space="preserve">IRR = exp(</w:t>
      </w:r>
      <m:oMath>
        <m:sSub>
          <m:e>
            <m:acc>
              <m:accPr>
                <m:chr m:val="̂"/>
              </m:accPr>
              <m:e>
                <m:r>
                  <m:t>β</m:t>
                </m:r>
              </m:e>
            </m:acc>
          </m:e>
          <m:sub>
            <m:r>
              <m:rPr>
                <m:nor/>
                <m:sty m:val="p"/>
              </m:rPr>
              <m:t>interacción</m:t>
            </m:r>
          </m:sub>
        </m:sSub>
      </m:oMath>
      <w:r>
        <w:t xml:space="preserve">). Norte: R15, R1, R2, R3, R4;</w:t>
      </w:r>
      <w:r>
        <w:t xml:space="preserve"> </w:t>
      </w:r>
      <w:r>
        <w:t xml:space="preserve">Centro: R5, R6, R7; RM: R13; Sur: R8, R9, R14, R16, R10; Austral: R11, R12. La</w:t>
      </w:r>
      <w:r>
        <w:t xml:space="preserve"> </w:t>
      </w:r>
      <w:r>
        <w:t xml:space="preserve">heterogeneidad es más pronunciada en los Splines 2 y 3, especialmente para Norte y</w:t>
      </w:r>
      <w:r>
        <w:t xml:space="preserve"> </w:t>
      </w:r>
      <w:r>
        <w:t xml:space="preserve">RM. En Spline 4, todas las interacciones se acercan a 1 (Norte: 1</w:t>
      </w:r>
      <w:r>
        <w:t xml:space="preserve">,</w:t>
      </w:r>
      <w:r>
        <w:t xml:space="preserve">08; Sur: 1</w:t>
      </w:r>
      <w:r>
        <w:t xml:space="preserve">,</w:t>
      </w:r>
      <w:r>
        <w:t xml:space="preserve">00),</w:t>
      </w:r>
      <w:r>
        <w:t xml:space="preserve"> </w:t>
      </w:r>
      <w:r>
        <w:t xml:space="preserve">indicando que la inflexión descendente reciente es de alcance nacional. Fuente:</w:t>
      </w:r>
      <w:r>
        <w:t xml:space="preserve"> </w:t>
      </w:r>
      <w:r>
        <w:t xml:space="preserve">Instituto Nacional de Estadísticas (2026)</w:t>
      </w:r>
      <w:r>
        <w:t xml:space="preserve">; SERMIG; proyecciones INE Base 2017.</w:t>
      </w:r>
    </w:p>
    <w:bookmarkStart w:id="125" w:name="refs"/>
    <w:bookmarkStart w:id="68" w:name="ref-ashby2020"/>
    <w:p>
      <w:pPr>
        <w:pStyle w:val="Bibliography"/>
      </w:pPr>
      <w:r>
        <w:t xml:space="preserve">Ashby, Matthew P. 2020.</w:t>
      </w:r>
      <w:r>
        <w:t xml:space="preserve"> </w:t>
      </w:r>
      <w:r>
        <w:t xml:space="preserve">“Initial Evidence on the Relationship Between the Coronavirus Pandemic and Crime in the</w:t>
      </w:r>
      <w:r>
        <w:t xml:space="preserve"> </w:t>
      </w:r>
      <w:r>
        <w:t xml:space="preserve">United States</w:t>
      </w:r>
      <w:r>
        <w:t xml:space="preserve">.”</w:t>
      </w:r>
      <w:r>
        <w:t xml:space="preserve"> </w:t>
      </w:r>
      <w:r>
        <w:rPr>
          <w:i/>
          <w:iCs/>
        </w:rPr>
        <w:t xml:space="preserve">Crime Science</w:t>
      </w:r>
      <w:r>
        <w:t xml:space="preserve"> </w:t>
      </w:r>
      <w:r>
        <w:t xml:space="preserve">9 (1): 6.</w:t>
      </w:r>
      <w:r>
        <w:t xml:space="preserve"> </w:t>
      </w:r>
      <w:hyperlink r:id="rId67">
        <w:r>
          <w:rPr>
            <w:rStyle w:val="Hyperlink"/>
          </w:rPr>
          <w:t xml:space="preserve">https://doi.org/10.1186/s40163-020-00117-6</w:t>
        </w:r>
      </w:hyperlink>
      <w:r>
        <w:t xml:space="preserve">.</w:t>
      </w:r>
    </w:p>
    <w:bookmarkEnd w:id="68"/>
    <w:bookmarkStart w:id="69" w:name="ref-bai1998"/>
    <w:p>
      <w:pPr>
        <w:pStyle w:val="Bibliography"/>
      </w:pPr>
      <w:r>
        <w:t xml:space="preserve">Bai, Jushan, and Pierre Perron. 1998.</w:t>
      </w:r>
      <w:r>
        <w:t xml:space="preserve"> </w:t>
      </w:r>
      <w:r>
        <w:t xml:space="preserve">“Estimating and Testing Linear Models with Multiple Structural Changes.”</w:t>
      </w:r>
      <w:r>
        <w:t xml:space="preserve"> </w:t>
      </w:r>
      <w:r>
        <w:rPr>
          <w:i/>
          <w:iCs/>
        </w:rPr>
        <w:t xml:space="preserve">Econometrica</w:t>
      </w:r>
      <w:r>
        <w:t xml:space="preserve"> </w:t>
      </w:r>
      <w:r>
        <w:t xml:space="preserve">66 (1): 47–78.</w:t>
      </w:r>
    </w:p>
    <w:bookmarkEnd w:id="69"/>
    <w:bookmarkStart w:id="71" w:name="ref-becker1968"/>
    <w:p>
      <w:pPr>
        <w:pStyle w:val="Bibliography"/>
      </w:pPr>
      <w:r>
        <w:t xml:space="preserve">Becker, Gary S. 1968.</w:t>
      </w:r>
      <w:r>
        <w:t xml:space="preserve"> </w:t>
      </w:r>
      <w:r>
        <w:t xml:space="preserve">“Crime and Punishment:</w:t>
      </w:r>
      <w:r>
        <w:t xml:space="preserve"> </w:t>
      </w:r>
      <w:r>
        <w:t xml:space="preserve">A</w:t>
      </w:r>
      <w:r>
        <w:t xml:space="preserve">n Economic Approach.”</w:t>
      </w:r>
      <w:r>
        <w:t xml:space="preserve"> </w:t>
      </w:r>
      <w:r>
        <w:rPr>
          <w:i/>
          <w:iCs/>
        </w:rPr>
        <w:t xml:space="preserve">Journal of Political Economy</w:t>
      </w:r>
      <w:r>
        <w:t xml:space="preserve"> </w:t>
      </w:r>
      <w:r>
        <w:t xml:space="preserve">76: 169–217.</w:t>
      </w:r>
      <w:r>
        <w:t xml:space="preserve"> </w:t>
      </w:r>
      <w:hyperlink r:id="rId70">
        <w:r>
          <w:rPr>
            <w:rStyle w:val="Hyperlink"/>
          </w:rPr>
          <w:t xml:space="preserve">https://doi.org/10.1086/259394</w:t>
        </w:r>
      </w:hyperlink>
      <w:r>
        <w:t xml:space="preserve">.</w:t>
      </w:r>
    </w:p>
    <w:bookmarkEnd w:id="71"/>
    <w:bookmarkStart w:id="73" w:name="ref-bell2014"/>
    <w:p>
      <w:pPr>
        <w:pStyle w:val="Bibliography"/>
      </w:pPr>
      <w:r>
        <w:t xml:space="preserve">Bell, Brian, Laura Jaitman, and Stephen Machin. 2014.</w:t>
      </w:r>
      <w:r>
        <w:t xml:space="preserve"> </w:t>
      </w:r>
      <w:r>
        <w:t xml:space="preserve">“Crime Deterrence:</w:t>
      </w:r>
      <w:r>
        <w:t xml:space="preserve"> </w:t>
      </w:r>
      <w:r>
        <w:t xml:space="preserve">E</w:t>
      </w:r>
      <w:r>
        <w:t xml:space="preserve">vidence from the</w:t>
      </w:r>
      <w:r>
        <w:t xml:space="preserve"> </w:t>
      </w:r>
      <w:r>
        <w:t xml:space="preserve">London</w:t>
      </w:r>
      <w:r>
        <w:t xml:space="preserve"> </w:t>
      </w:r>
      <w:r>
        <w:t xml:space="preserve">2011 Riots.”</w:t>
      </w:r>
      <w:r>
        <w:t xml:space="preserve"> </w:t>
      </w:r>
      <w:r>
        <w:rPr>
          <w:i/>
          <w:iCs/>
        </w:rPr>
        <w:t xml:space="preserve">The Economic Journal</w:t>
      </w:r>
      <w:r>
        <w:t xml:space="preserve"> </w:t>
      </w:r>
      <w:r>
        <w:t xml:space="preserve">124 (576): 480–506.</w:t>
      </w:r>
      <w:r>
        <w:t xml:space="preserve"> </w:t>
      </w:r>
      <w:hyperlink r:id="rId72">
        <w:r>
          <w:rPr>
            <w:rStyle w:val="Hyperlink"/>
          </w:rPr>
          <w:t xml:space="preserve">https://doi.org/10.1111/ecoj.12137</w:t>
        </w:r>
      </w:hyperlink>
      <w:r>
        <w:t xml:space="preserve">.</w:t>
      </w:r>
    </w:p>
    <w:bookmarkEnd w:id="73"/>
    <w:bookmarkStart w:id="74" w:name="ref-blumstein1988"/>
    <w:p>
      <w:pPr>
        <w:pStyle w:val="Bibliography"/>
      </w:pPr>
      <w:r>
        <w:t xml:space="preserve">Blumstein, Alfred, Jacqueline Cohen, Jeffrey A. Roth, and Christy A. Visher, eds. 1988.</w:t>
      </w:r>
      <w:r>
        <w:t xml:space="preserve"> </w:t>
      </w:r>
      <w:r>
        <w:rPr>
          <w:i/>
          <w:iCs/>
        </w:rPr>
        <w:t xml:space="preserve">Criminal Careers and</w:t>
      </w:r>
      <w:r>
        <w:rPr>
          <w:i/>
          <w:iCs/>
        </w:rPr>
        <w:t xml:space="preserve"> </w:t>
      </w:r>
      <w:r>
        <w:rPr>
          <w:i/>
          <w:iCs/>
        </w:rPr>
        <w:t xml:space="preserve">“</w:t>
      </w:r>
      <w:r>
        <w:rPr>
          <w:i/>
          <w:iCs/>
        </w:rPr>
        <w:t xml:space="preserve">Career Criminals</w:t>
      </w:r>
      <w:r>
        <w:rPr>
          <w:i/>
          <w:iCs/>
        </w:rPr>
        <w:t xml:space="preserve">”</w:t>
      </w:r>
      <w:r>
        <w:t xml:space="preserve">. Washington, D.C.: National Academy Press.</w:t>
      </w:r>
    </w:p>
    <w:bookmarkEnd w:id="74"/>
    <w:bookmarkStart w:id="76" w:name="ref-bravo2024"/>
    <w:p>
      <w:pPr>
        <w:pStyle w:val="Bibliography"/>
      </w:pPr>
      <w:r>
        <w:t xml:space="preserve">Bravo Acevedo, G. 2024.</w:t>
      </w:r>
      <w:r>
        <w:t xml:space="preserve"> </w:t>
      </w:r>
      <w:r>
        <w:t xml:space="preserve">“Migraciones, Narcotráfico y Frontera.</w:t>
      </w:r>
      <w:r>
        <w:t xml:space="preserve"> </w:t>
      </w:r>
      <w:r>
        <w:t xml:space="preserve">L</w:t>
      </w:r>
      <w:r>
        <w:t xml:space="preserve">a Situación En La Macrozona Norte de</w:t>
      </w:r>
      <w:r>
        <w:t xml:space="preserve"> </w:t>
      </w:r>
      <w:r>
        <w:t xml:space="preserve">Chile</w:t>
      </w:r>
      <w:r>
        <w:t xml:space="preserve">. 2020–2022.”</w:t>
      </w:r>
      <w:r>
        <w:t xml:space="preserve"> </w:t>
      </w:r>
      <w:r>
        <w:rPr>
          <w:i/>
          <w:iCs/>
        </w:rPr>
        <w:t xml:space="preserve">Diálogo Andino</w:t>
      </w:r>
      <w:r>
        <w:t xml:space="preserve">, no. 73: 128–40.</w:t>
      </w:r>
      <w:r>
        <w:t xml:space="preserve"> </w:t>
      </w:r>
      <w:hyperlink r:id="rId75">
        <w:r>
          <w:rPr>
            <w:rStyle w:val="Hyperlink"/>
          </w:rPr>
          <w:t xml:space="preserve">https://doi.org/10.4067/S0719-26812024000100128</w:t>
        </w:r>
      </w:hyperlink>
      <w:r>
        <w:t xml:space="preserve">.</w:t>
      </w:r>
    </w:p>
    <w:bookmarkEnd w:id="76"/>
    <w:bookmarkStart w:id="77" w:name="ref-cameron2015"/>
    <w:p>
      <w:pPr>
        <w:pStyle w:val="Bibliography"/>
      </w:pPr>
      <w:r>
        <w:t xml:space="preserve">Cameron, A. Colin, and Douglas L. Miller. 2015.</w:t>
      </w:r>
      <w:r>
        <w:t xml:space="preserve"> </w:t>
      </w:r>
      <w:r>
        <w:t xml:space="preserve">“A Practitioner’s Guide to Cluster-Robust Inference.”</w:t>
      </w:r>
      <w:r>
        <w:t xml:space="preserve"> </w:t>
      </w:r>
      <w:r>
        <w:rPr>
          <w:i/>
          <w:iCs/>
        </w:rPr>
        <w:t xml:space="preserve">Journal of Human Resources</w:t>
      </w:r>
      <w:r>
        <w:t xml:space="preserve"> </w:t>
      </w:r>
      <w:r>
        <w:t xml:space="preserve">50 (2): 317–72.</w:t>
      </w:r>
    </w:p>
    <w:bookmarkEnd w:id="77"/>
    <w:bookmarkStart w:id="79" w:name="ref-cep2025"/>
    <w:p>
      <w:pPr>
        <w:pStyle w:val="Bibliography"/>
      </w:pPr>
      <w:r>
        <w:t xml:space="preserve">Centro de Estudios Públicos. 2025.</w:t>
      </w:r>
      <w:r>
        <w:t xml:space="preserve"> </w:t>
      </w:r>
      <w:r>
        <w:t xml:space="preserve">“Encuesta</w:t>
      </w:r>
      <w:r>
        <w:t xml:space="preserve"> </w:t>
      </w:r>
      <w:r>
        <w:t xml:space="preserve">CEP</w:t>
      </w:r>
      <w:r>
        <w:t xml:space="preserve"> </w:t>
      </w:r>
      <w:r>
        <w:t xml:space="preserve">N</w:t>
      </w:r>
      <m:oMath>
        <m:sSup>
          <m:e>
            <m:r>
              <m:t>​</m:t>
            </m:r>
          </m:e>
          <m:sup>
            <m:r>
              <m:rPr>
                <m:sty m:val="p"/>
              </m:rPr>
              <m:t>∘</m:t>
            </m:r>
          </m:sup>
        </m:sSup>
      </m:oMath>
      <w:r>
        <w:t xml:space="preserve">94 Mayo–Junio 2025:</w:t>
      </w:r>
      <w:r>
        <w:t xml:space="preserve"> </w:t>
      </w:r>
      <w:r>
        <w:t xml:space="preserve">ISSP</w:t>
      </w:r>
      <w:r>
        <w:t xml:space="preserve"> </w:t>
      </w:r>
      <w:r>
        <w:t xml:space="preserve">Orientaciones Laborales.”</w:t>
      </w:r>
      <w:r>
        <w:t xml:space="preserve"> </w:t>
      </w:r>
      <w:r>
        <w:t xml:space="preserve">Santiago, Chile: Centro de Estudios Públicos.</w:t>
      </w:r>
      <w:r>
        <w:t xml:space="preserve"> </w:t>
      </w:r>
      <w:hyperlink r:id="rId78">
        <w:r>
          <w:rPr>
            <w:rStyle w:val="Hyperlink"/>
          </w:rPr>
          <w:t xml:space="preserve">https://www.cepchile.cl/encuesta/encuesta-cep-n-94-mayo-junio-2025-issp-orientaciones-laborales/</w:t>
        </w:r>
      </w:hyperlink>
      <w:r>
        <w:t xml:space="preserve">.</w:t>
      </w:r>
    </w:p>
    <w:bookmarkEnd w:id="79"/>
    <w:bookmarkStart w:id="81" w:name="ref-cohen1979"/>
    <w:p>
      <w:pPr>
        <w:pStyle w:val="Bibliography"/>
      </w:pPr>
      <w:r>
        <w:t xml:space="preserve">Cohen, Lawrence E., and Marcus Felson. 1979.</w:t>
      </w:r>
      <w:r>
        <w:t xml:space="preserve"> </w:t>
      </w:r>
      <w:r>
        <w:t xml:space="preserve">“Social Change and Crime Rate Trends:</w:t>
      </w:r>
      <w:r>
        <w:t xml:space="preserve"> </w:t>
      </w:r>
      <w:r>
        <w:t xml:space="preserve">A</w:t>
      </w:r>
      <w:r>
        <w:t xml:space="preserve"> </w:t>
      </w:r>
      <w:r>
        <w:t xml:space="preserve">Routine Activity Approach.”</w:t>
      </w:r>
      <w:r>
        <w:t xml:space="preserve"> </w:t>
      </w:r>
      <w:r>
        <w:rPr>
          <w:i/>
          <w:iCs/>
        </w:rPr>
        <w:t xml:space="preserve">American Sociological Review</w:t>
      </w:r>
      <w:r>
        <w:t xml:space="preserve"> </w:t>
      </w:r>
      <w:r>
        <w:t xml:space="preserve">44 (4): 588–608.</w:t>
      </w:r>
      <w:r>
        <w:t xml:space="preserve"> </w:t>
      </w:r>
      <w:hyperlink r:id="rId80">
        <w:r>
          <w:rPr>
            <w:rStyle w:val="Hyperlink"/>
          </w:rPr>
          <w:t xml:space="preserve">https://doi.org/10.2307/2094589</w:t>
        </w:r>
      </w:hyperlink>
      <w:r>
        <w:t xml:space="preserve">.</w:t>
      </w:r>
    </w:p>
    <w:bookmarkEnd w:id="81"/>
    <w:bookmarkStart w:id="83" w:name="ref-crespo2023"/>
    <w:p>
      <w:pPr>
        <w:pStyle w:val="Bibliography"/>
      </w:pPr>
      <w:r>
        <w:t xml:space="preserve">Crespo, F., and C. Lay. 2023.</w:t>
      </w:r>
      <w:r>
        <w:t xml:space="preserve"> </w:t>
      </w:r>
      <w:r>
        <w:t xml:space="preserve">“Una Década En</w:t>
      </w:r>
      <w:r>
        <w:t xml:space="preserve"> </w:t>
      </w:r>
      <w:r>
        <w:t xml:space="preserve">Chile</w:t>
      </w:r>
      <w:r>
        <w:t xml:space="preserve">:</w:t>
      </w:r>
      <w:r>
        <w:t xml:space="preserve"> </w:t>
      </w:r>
      <w:r>
        <w:t xml:space="preserve">A</w:t>
      </w:r>
      <w:r>
        <w:t xml:space="preserve">nálisis de Homicidios, Abusos Sexuales y Robos Con Intimidación Desde 2010 a 2022.”</w:t>
      </w:r>
      <w:r>
        <w:t xml:space="preserve"> </w:t>
      </w:r>
      <w:r>
        <w:rPr>
          <w:i/>
          <w:iCs/>
        </w:rPr>
        <w:t xml:space="preserve">Observatorio Económico</w:t>
      </w:r>
      <w:r>
        <w:t xml:space="preserve">, no. 184: 5–13.</w:t>
      </w:r>
      <w:r>
        <w:t xml:space="preserve"> </w:t>
      </w:r>
      <w:hyperlink r:id="rId82">
        <w:r>
          <w:rPr>
            <w:rStyle w:val="Hyperlink"/>
          </w:rPr>
          <w:t xml:space="preserve">https://doi.org/10.11565/oe.v1i184.535</w:t>
        </w:r>
      </w:hyperlink>
      <w:r>
        <w:t xml:space="preserve">.</w:t>
      </w:r>
    </w:p>
    <w:bookmarkEnd w:id="83"/>
    <w:bookmarkStart w:id="85" w:name="ref-dammert2025"/>
    <w:p>
      <w:pPr>
        <w:pStyle w:val="Bibliography"/>
      </w:pPr>
      <w:r>
        <w:t xml:space="preserve">Dammert, L., A. Frey, and P. González. 2025.</w:t>
      </w:r>
      <w:r>
        <w:t xml:space="preserve"> </w:t>
      </w:r>
      <w:r>
        <w:t xml:space="preserve">“Concentración Territorial de Homicidios, Secuestros y Extorsiones:</w:t>
      </w:r>
      <w:r>
        <w:t xml:space="preserve"> </w:t>
      </w:r>
      <w:r>
        <w:t xml:space="preserve">E</w:t>
      </w:r>
      <w:r>
        <w:t xml:space="preserve">l Caso de La</w:t>
      </w:r>
      <w:r>
        <w:t xml:space="preserve"> </w:t>
      </w:r>
      <w:r>
        <w:t xml:space="preserve">Región Metropolitana</w:t>
      </w:r>
      <w:r>
        <w:t xml:space="preserve"> </w:t>
      </w:r>
      <w:r>
        <w:t xml:space="preserve">de</w:t>
      </w:r>
      <w:r>
        <w:t xml:space="preserve"> </w:t>
      </w:r>
      <w:r>
        <w:t xml:space="preserve">Santiago de Chile</w:t>
      </w:r>
      <w:r>
        <w:t xml:space="preserve">.”</w:t>
      </w:r>
      <w:r>
        <w:t xml:space="preserve"> </w:t>
      </w:r>
      <w:r>
        <w:rPr>
          <w:i/>
          <w:iCs/>
        </w:rPr>
        <w:t xml:space="preserve">Política Criminal</w:t>
      </w:r>
      <w:r>
        <w:t xml:space="preserve"> </w:t>
      </w:r>
      <w:r>
        <w:t xml:space="preserve">20 (40): 269–94.</w:t>
      </w:r>
      <w:r>
        <w:t xml:space="preserve"> </w:t>
      </w:r>
      <w:hyperlink r:id="rId84">
        <w:r>
          <w:rPr>
            <w:rStyle w:val="Hyperlink"/>
          </w:rPr>
          <w:t xml:space="preserve">https://doi.org/10.4067/s0718-33992025000200269</w:t>
        </w:r>
      </w:hyperlink>
      <w:r>
        <w:t xml:space="preserve">.</w:t>
      </w:r>
    </w:p>
    <w:bookmarkEnd w:id="85"/>
    <w:bookmarkStart w:id="87" w:name="ref-dominguez2024"/>
    <w:p>
      <w:pPr>
        <w:pStyle w:val="Bibliography"/>
      </w:pPr>
      <w:r>
        <w:t xml:space="preserve">Domínguez, P., M. Duce, and R. Fugellie. 2024.</w:t>
      </w:r>
      <w:r>
        <w:t xml:space="preserve"> </w:t>
      </w:r>
      <w:r>
        <w:t xml:space="preserve">“Informe de Seguridad Pública: Una Mirada Al Estado Actual de La Victimización En El País.”</w:t>
      </w:r>
      <w:r>
        <w:t xml:space="preserve"> </w:t>
      </w:r>
      <w:r>
        <w:t xml:space="preserve">Santiago, Chile: Espacio Público.</w:t>
      </w:r>
      <w:r>
        <w:t xml:space="preserve"> </w:t>
      </w:r>
      <w:hyperlink r:id="rId86">
        <w:r>
          <w:rPr>
            <w:rStyle w:val="Hyperlink"/>
          </w:rPr>
          <w:t xml:space="preserve">https://espaciopublico.cl/nuestro_trabajo/informe-de-seguridad-publica-tendencias-recientes-en-crimen/</w:t>
        </w:r>
      </w:hyperlink>
      <w:r>
        <w:t xml:space="preserve">.</w:t>
      </w:r>
    </w:p>
    <w:bookmarkEnd w:id="87"/>
    <w:bookmarkStart w:id="89" w:name="ref-gamarra2024b"/>
    <w:p>
      <w:pPr>
        <w:pStyle w:val="Bibliography"/>
      </w:pPr>
      <w:r>
        <w:t xml:space="preserve">Gamarra, C., A. Mascareño, A. Cardeiro, and J. Rozas. 2024.</w:t>
      </w:r>
      <w:r>
        <w:t xml:space="preserve"> </w:t>
      </w:r>
      <w:r>
        <w:t xml:space="preserve">“La Distribución Comunal Del Delito En</w:t>
      </w:r>
      <w:r>
        <w:t xml:space="preserve"> </w:t>
      </w:r>
      <w:r>
        <w:t xml:space="preserve">Chile</w:t>
      </w:r>
      <w:r>
        <w:t xml:space="preserve">: Un Análisis Exploratorio En Base a</w:t>
      </w:r>
      <w:r>
        <w:t xml:space="preserve"> </w:t>
      </w:r>
      <w:r>
        <w:t xml:space="preserve">ENUSC</w:t>
      </w:r>
      <w:r>
        <w:t xml:space="preserve"> </w:t>
      </w:r>
      <w:r>
        <w:t xml:space="preserve">2023.”</w:t>
      </w:r>
      <w:r>
        <w:t xml:space="preserve"> </w:t>
      </w:r>
      <w:r>
        <w:t xml:space="preserve">Puntos de Referencia 718. Santiago, Chile: Centro de Estudios Públicos.</w:t>
      </w:r>
      <w:r>
        <w:t xml:space="preserve"> </w:t>
      </w:r>
      <w:hyperlink r:id="rId88">
        <w:r>
          <w:rPr>
            <w:rStyle w:val="Hyperlink"/>
          </w:rPr>
          <w:t xml:space="preserve">https://www.cepchile.cl/investigacion/la-distribucion-comunal-del-delito-en-chile/</w:t>
        </w:r>
      </w:hyperlink>
      <w:r>
        <w:t xml:space="preserve">.</w:t>
      </w:r>
    </w:p>
    <w:bookmarkEnd w:id="89"/>
    <w:bookmarkStart w:id="91" w:name="ref-gamarra2024a"/>
    <w:p>
      <w:pPr>
        <w:pStyle w:val="Bibliography"/>
      </w:pPr>
      <w:r>
        <w:t xml:space="preserve">Gamarra, C., J. Rozas, A. Cardeiro, and A. Mascareño. 2024.</w:t>
      </w:r>
      <w:r>
        <w:t xml:space="preserve"> </w:t>
      </w:r>
      <w:r>
        <w:t xml:space="preserve">“El Lado Oculto Del Delito: Aproximaciones Al Subreporte de La Delincuencia En</w:t>
      </w:r>
      <w:r>
        <w:t xml:space="preserve"> </w:t>
      </w:r>
      <w:r>
        <w:t xml:space="preserve">Chile</w:t>
      </w:r>
      <w:r>
        <w:t xml:space="preserve">.”</w:t>
      </w:r>
      <w:r>
        <w:t xml:space="preserve"> </w:t>
      </w:r>
      <w:r>
        <w:t xml:space="preserve">Puntos de Referencia 711. Santiago, Chile: Centro de Estudios Públicos.</w:t>
      </w:r>
      <w:r>
        <w:t xml:space="preserve"> </w:t>
      </w:r>
      <w:hyperlink r:id="rId90">
        <w:r>
          <w:rPr>
            <w:rStyle w:val="Hyperlink"/>
          </w:rPr>
          <w:t xml:space="preserve">https://www.cepchile.cl/investigacion/el-lado-oculto-del-delito-aproximaciones-al-subreporte-de-la-delincuencia-en-chile/</w:t>
        </w:r>
      </w:hyperlink>
      <w:r>
        <w:t xml:space="preserve">.</w:t>
      </w:r>
    </w:p>
    <w:bookmarkEnd w:id="91"/>
    <w:bookmarkStart w:id="92" w:name="ref-gourieroux1984"/>
    <w:p>
      <w:pPr>
        <w:pStyle w:val="Bibliography"/>
      </w:pPr>
      <w:r>
        <w:t xml:space="preserve">Gourieroux, Christian, Alain Monfort, and Alain Trognon. 1984.</w:t>
      </w:r>
      <w:r>
        <w:t xml:space="preserve"> </w:t>
      </w:r>
      <w:r>
        <w:t xml:space="preserve">“Pseudo Maximum Likelihood Methods:</w:t>
      </w:r>
      <w:r>
        <w:t xml:space="preserve"> </w:t>
      </w:r>
      <w:r>
        <w:t xml:space="preserve">A</w:t>
      </w:r>
      <w:r>
        <w:t xml:space="preserve">pplications to</w:t>
      </w:r>
      <w:r>
        <w:t xml:space="preserve"> </w:t>
      </w:r>
      <w:r>
        <w:t xml:space="preserve">P</w:t>
      </w:r>
      <w:r>
        <w:t xml:space="preserve">oisson Models.”</w:t>
      </w:r>
      <w:r>
        <w:t xml:space="preserve"> </w:t>
      </w:r>
      <w:r>
        <w:rPr>
          <w:i/>
          <w:iCs/>
        </w:rPr>
        <w:t xml:space="preserve">Econometrica</w:t>
      </w:r>
      <w:r>
        <w:t xml:space="preserve"> </w:t>
      </w:r>
      <w:r>
        <w:t xml:space="preserve">52 (3): 701–20.</w:t>
      </w:r>
    </w:p>
    <w:bookmarkEnd w:id="92"/>
    <w:bookmarkStart w:id="94" w:name="ref-greene2023"/>
    <w:p>
      <w:pPr>
        <w:pStyle w:val="Bibliography"/>
      </w:pPr>
      <w:r>
        <w:t xml:space="preserve">Greene, P., C. Astraín, and C. Salas. 2023.</w:t>
      </w:r>
      <w:r>
        <w:t xml:space="preserve"> </w:t>
      </w:r>
      <w:r>
        <w:t xml:space="preserve">“Crimen Organizado: Análisis y Desafíos Para</w:t>
      </w:r>
      <w:r>
        <w:t xml:space="preserve"> </w:t>
      </w:r>
      <w:r>
        <w:t xml:space="preserve">Chile</w:t>
      </w:r>
      <w:r>
        <w:t xml:space="preserve">.”</w:t>
      </w:r>
      <w:r>
        <w:t xml:space="preserve"> </w:t>
      </w:r>
      <w:r>
        <w:rPr>
          <w:i/>
          <w:iCs/>
        </w:rPr>
        <w:t xml:space="preserve">Revista de Derecho y Ciencias Sociales</w:t>
      </w:r>
      <w:r>
        <w:t xml:space="preserve">, no. 29: 241–77.</w:t>
      </w:r>
      <w:r>
        <w:t xml:space="preserve"> </w:t>
      </w:r>
      <w:hyperlink r:id="rId93">
        <w:r>
          <w:rPr>
            <w:rStyle w:val="Hyperlink"/>
          </w:rPr>
          <w:t xml:space="preserve">https://www.rduss.cl/index.php/ojs/article/view/48</w:t>
        </w:r>
      </w:hyperlink>
      <w:r>
        <w:t xml:space="preserve">.</w:t>
      </w:r>
    </w:p>
    <w:bookmarkEnd w:id="94"/>
    <w:bookmarkStart w:id="96" w:name="ref-han2013"/>
    <w:p>
      <w:pPr>
        <w:pStyle w:val="Bibliography"/>
      </w:pPr>
      <w:r>
        <w:t xml:space="preserve">Han, L., S. Bandyopadhyay, and S. Bhattacharya. 2013.</w:t>
      </w:r>
      <w:r>
        <w:t xml:space="preserve"> </w:t>
      </w:r>
      <w:r>
        <w:t xml:space="preserve">“Determinants of Violent and Property Crimes in</w:t>
      </w:r>
      <w:r>
        <w:t xml:space="preserve"> </w:t>
      </w:r>
      <w:r>
        <w:t xml:space="preserve">England</w:t>
      </w:r>
      <w:r>
        <w:t xml:space="preserve"> </w:t>
      </w:r>
      <w:r>
        <w:t xml:space="preserve">and</w:t>
      </w:r>
      <w:r>
        <w:t xml:space="preserve"> </w:t>
      </w:r>
      <w:r>
        <w:t xml:space="preserve">Wales</w:t>
      </w:r>
      <w:r>
        <w:t xml:space="preserve">:</w:t>
      </w:r>
      <w:r>
        <w:t xml:space="preserve"> </w:t>
      </w:r>
      <w:r>
        <w:t xml:space="preserve">A</w:t>
      </w:r>
      <w:r>
        <w:t xml:space="preserve"> </w:t>
      </w:r>
      <w:r>
        <w:t xml:space="preserve">Panel Data Analysis.”</w:t>
      </w:r>
      <w:r>
        <w:t xml:space="preserve"> </w:t>
      </w:r>
      <w:r>
        <w:rPr>
          <w:i/>
          <w:iCs/>
        </w:rPr>
        <w:t xml:space="preserve">Applied Economics</w:t>
      </w:r>
      <w:r>
        <w:t xml:space="preserve"> </w:t>
      </w:r>
      <w:r>
        <w:t xml:space="preserve">45 (34): 4820–30.</w:t>
      </w:r>
      <w:r>
        <w:t xml:space="preserve"> </w:t>
      </w:r>
      <w:hyperlink r:id="rId95">
        <w:r>
          <w:rPr>
            <w:rStyle w:val="Hyperlink"/>
          </w:rPr>
          <w:t xml:space="preserve">https://doi.org/10.1080/00036846.2013.806782</w:t>
        </w:r>
      </w:hyperlink>
      <w:r>
        <w:t xml:space="preserve">.</w:t>
      </w:r>
    </w:p>
    <w:bookmarkEnd w:id="96"/>
    <w:bookmarkStart w:id="98" w:name="ref-ine2025enusc"/>
    <w:p>
      <w:pPr>
        <w:pStyle w:val="Bibliography"/>
      </w:pPr>
      <w:r>
        <w:t xml:space="preserve">Instituto Nacional de Estadísticas. 2025.</w:t>
      </w:r>
      <w:r>
        <w:t xml:space="preserve"> </w:t>
      </w:r>
      <w:r>
        <w:t xml:space="preserve">“Síntesis de Resultados:</w:t>
      </w:r>
      <w:r>
        <w:t xml:space="preserve"> </w:t>
      </w:r>
      <w:r>
        <w:t xml:space="preserve">E</w:t>
      </w:r>
      <w:r>
        <w:t xml:space="preserve">ncuesta</w:t>
      </w:r>
      <w:r>
        <w:t xml:space="preserve"> </w:t>
      </w:r>
      <w:r>
        <w:t xml:space="preserve">N</w:t>
      </w:r>
      <w:r>
        <w:t xml:space="preserve">acional</w:t>
      </w:r>
      <w:r>
        <w:t xml:space="preserve"> </w:t>
      </w:r>
      <w:r>
        <w:t xml:space="preserve">U</w:t>
      </w:r>
      <w:r>
        <w:t xml:space="preserve">rbana de</w:t>
      </w:r>
      <w:r>
        <w:t xml:space="preserve"> </w:t>
      </w:r>
      <w:r>
        <w:t xml:space="preserve">S</w:t>
      </w:r>
      <w:r>
        <w:t xml:space="preserve">eguridad</w:t>
      </w:r>
      <w:r>
        <w:t xml:space="preserve"> </w:t>
      </w:r>
      <w:r>
        <w:t xml:space="preserve">C</w:t>
      </w:r>
      <w:r>
        <w:t xml:space="preserve">iudadana 2024.”</w:t>
      </w:r>
      <w:r>
        <w:t xml:space="preserve"> </w:t>
      </w:r>
      <w:r>
        <w:t xml:space="preserve">Santiago, Chile: Instituto Nacional de Estadísticas.</w:t>
      </w:r>
      <w:r>
        <w:t xml:space="preserve"> </w:t>
      </w:r>
      <w:hyperlink r:id="rId97">
        <w:r>
          <w:rPr>
            <w:rStyle w:val="Hyperlink"/>
          </w:rPr>
          <w:t xml:space="preserve">https://www.ine.gob.cl/docs/default-source/seguridad-ciudadana/publicaciones-y-anuarios/2024/sintesis-de-resultados-enusc-2024.pdf</w:t>
        </w:r>
      </w:hyperlink>
      <w:r>
        <w:t xml:space="preserve">.</w:t>
      </w:r>
    </w:p>
    <w:bookmarkEnd w:id="98"/>
    <w:bookmarkStart w:id="99" w:name="ref-INE2026"/>
    <w:p>
      <w:pPr>
        <w:pStyle w:val="Bibliography"/>
      </w:pPr>
      <w:r>
        <w:t xml:space="preserve">———. 2026.</w:t>
      </w:r>
      <w:r>
        <w:t xml:space="preserve"> </w:t>
      </w:r>
      <w:r>
        <w:t xml:space="preserve">“Estadísticas de Seguridad y Justicia.”</w:t>
      </w:r>
      <w:r>
        <w:t xml:space="preserve"> </w:t>
      </w:r>
      <w:r>
        <w:t xml:space="preserve">Santiago, Chile: Instituto Nacional de Estadísticas.</w:t>
      </w:r>
    </w:p>
    <w:bookmarkEnd w:id="99"/>
    <w:bookmarkStart w:id="101" w:name="ref-izquierdo2024"/>
    <w:p>
      <w:pPr>
        <w:pStyle w:val="Bibliography"/>
      </w:pPr>
      <w:r>
        <w:t xml:space="preserve">Izquierdo, S., A. Mascareño, and J. Rozas. 2024.</w:t>
      </w:r>
      <w:r>
        <w:t xml:space="preserve"> </w:t>
      </w:r>
      <w:r>
        <w:t xml:space="preserve">“Voces Del Sur: Lo Que Se Oculta Tras</w:t>
      </w:r>
      <w:r>
        <w:t xml:space="preserve"> </w:t>
      </w:r>
      <w:r>
        <w:t xml:space="preserve">‘La Causa Mapuche’</w:t>
      </w:r>
      <w:r>
        <w:t xml:space="preserve">.”</w:t>
      </w:r>
      <w:r>
        <w:t xml:space="preserve"> </w:t>
      </w:r>
      <w:r>
        <w:t xml:space="preserve">Puntos de Referencia 693. Santiago, Chile: Centro de Estudios Públicos.</w:t>
      </w:r>
      <w:r>
        <w:t xml:space="preserve"> </w:t>
      </w:r>
      <w:hyperlink r:id="rId100">
        <w:r>
          <w:rPr>
            <w:rStyle w:val="Hyperlink"/>
          </w:rPr>
          <w:t xml:space="preserve">https://www.cepchile.cl/investigacion/voces-del-sur-lo-que-se-oculta-tras-la-causa-mapuche/</w:t>
        </w:r>
      </w:hyperlink>
      <w:r>
        <w:t xml:space="preserve">.</w:t>
      </w:r>
    </w:p>
    <w:bookmarkEnd w:id="101"/>
    <w:bookmarkStart w:id="102" w:name="ref-mackinnon2023"/>
    <w:p>
      <w:pPr>
        <w:pStyle w:val="Bibliography"/>
      </w:pPr>
      <w:r>
        <w:t xml:space="preserve">MacKinnon, James G., Morten Ørregaard Nielsen, and Matthew D. Webb. 2023.</w:t>
      </w:r>
      <w:r>
        <w:t xml:space="preserve"> </w:t>
      </w:r>
      <w:r>
        <w:t xml:space="preserve">“Cluster-Robust Inference:</w:t>
      </w:r>
      <w:r>
        <w:t xml:space="preserve"> </w:t>
      </w:r>
      <w:r>
        <w:t xml:space="preserve">A</w:t>
      </w:r>
      <w:r>
        <w:t xml:space="preserve"> </w:t>
      </w:r>
      <w:r>
        <w:t xml:space="preserve">Guide to Empirical Practice.”</w:t>
      </w:r>
      <w:r>
        <w:t xml:space="preserve"> </w:t>
      </w:r>
      <w:r>
        <w:rPr>
          <w:i/>
          <w:iCs/>
        </w:rPr>
        <w:t xml:space="preserve">Journal of Econometrics</w:t>
      </w:r>
      <w:r>
        <w:t xml:space="preserve"> </w:t>
      </w:r>
      <w:r>
        <w:t xml:space="preserve">232 (2): 272–99.</w:t>
      </w:r>
    </w:p>
    <w:bookmarkEnd w:id="102"/>
    <w:bookmarkStart w:id="104" w:name="ref-meyer2022"/>
    <w:p>
      <w:pPr>
        <w:pStyle w:val="Bibliography"/>
      </w:pPr>
      <w:r>
        <w:t xml:space="preserve">Meyer, M., A. Hassafy, G. Lewis, P. Shrestha, A. M. Haviland, and D. S. Nagin. 2022.</w:t>
      </w:r>
      <w:r>
        <w:t xml:space="preserve"> </w:t>
      </w:r>
      <w:r>
        <w:t xml:space="preserve">“Changes in Crime Rates During the</w:t>
      </w:r>
      <w:r>
        <w:t xml:space="preserve"> </w:t>
      </w:r>
      <w:r>
        <w:t xml:space="preserve">COVID-19</w:t>
      </w:r>
      <w:r>
        <w:t xml:space="preserve"> </w:t>
      </w:r>
      <w:r>
        <w:t xml:space="preserve">Pandemic.”</w:t>
      </w:r>
      <w:r>
        <w:t xml:space="preserve"> </w:t>
      </w:r>
      <w:r>
        <w:rPr>
          <w:i/>
          <w:iCs/>
        </w:rPr>
        <w:t xml:space="preserve">Statistics and Public Policy</w:t>
      </w:r>
      <w:r>
        <w:t xml:space="preserve"> </w:t>
      </w:r>
      <w:r>
        <w:t xml:space="preserve">9 (1): 97–109.</w:t>
      </w:r>
      <w:r>
        <w:t xml:space="preserve"> </w:t>
      </w:r>
      <w:hyperlink r:id="rId103">
        <w:r>
          <w:rPr>
            <w:rStyle w:val="Hyperlink"/>
          </w:rPr>
          <w:t xml:space="preserve">https://doi.org/10.1080/2330443X.2022.2071369</w:t>
        </w:r>
      </w:hyperlink>
      <w:r>
        <w:t xml:space="preserve">.</w:t>
      </w:r>
    </w:p>
    <w:bookmarkEnd w:id="104"/>
    <w:bookmarkStart w:id="106" w:name="ref-mongale2022"/>
    <w:p>
      <w:pPr>
        <w:pStyle w:val="Bibliography"/>
      </w:pPr>
      <w:r>
        <w:t xml:space="preserve">Mongale, C. O. 2022.</w:t>
      </w:r>
      <w:r>
        <w:t xml:space="preserve"> </w:t>
      </w:r>
      <w:r>
        <w:t xml:space="preserve">“Social Discontent or Criminality?</w:t>
      </w:r>
      <w:r>
        <w:t xml:space="preserve"> </w:t>
      </w:r>
      <w:r>
        <w:t xml:space="preserve">N</w:t>
      </w:r>
      <w:r>
        <w:t xml:space="preserve">avigating the Nexus Between Urban Riots and Criminal Activities in</w:t>
      </w:r>
      <w:r>
        <w:t xml:space="preserve"> </w:t>
      </w:r>
      <w:r>
        <w:t xml:space="preserve">Gauteng</w:t>
      </w:r>
      <w:r>
        <w:t xml:space="preserve"> </w:t>
      </w:r>
      <w:r>
        <w:t xml:space="preserve">and</w:t>
      </w:r>
      <w:r>
        <w:t xml:space="preserve"> </w:t>
      </w:r>
      <w:r>
        <w:t xml:space="preserve">KwaZulu-Natal</w:t>
      </w:r>
      <w:r>
        <w:t xml:space="preserve"> </w:t>
      </w:r>
      <w:r>
        <w:t xml:space="preserve">Provinces</w:t>
      </w:r>
      <w:r>
        <w:t xml:space="preserve">,</w:t>
      </w:r>
      <w:r>
        <w:t xml:space="preserve"> </w:t>
      </w:r>
      <w:r>
        <w:t xml:space="preserve">South Africa</w:t>
      </w:r>
      <w:r>
        <w:t xml:space="preserve"> </w:t>
      </w:r>
      <w:r>
        <w:t xml:space="preserve">(2021).”</w:t>
      </w:r>
      <w:r>
        <w:t xml:space="preserve"> </w:t>
      </w:r>
      <w:r>
        <w:rPr>
          <w:i/>
          <w:iCs/>
        </w:rPr>
        <w:t xml:space="preserve">Frontiers in Sustainable Cities</w:t>
      </w:r>
      <w:r>
        <w:t xml:space="preserve"> </w:t>
      </w:r>
      <w:r>
        <w:t xml:space="preserve">4: 865255.</w:t>
      </w:r>
      <w:r>
        <w:t xml:space="preserve"> </w:t>
      </w:r>
      <w:hyperlink r:id="rId105">
        <w:r>
          <w:rPr>
            <w:rStyle w:val="Hyperlink"/>
          </w:rPr>
          <w:t xml:space="preserve">https://doi.org/10.3389/frsc.2022.865255</w:t>
        </w:r>
      </w:hyperlink>
      <w:r>
        <w:t xml:space="preserve">.</w:t>
      </w:r>
    </w:p>
    <w:bookmarkEnd w:id="106"/>
    <w:bookmarkStart w:id="108" w:name="ref-osgood2000"/>
    <w:p>
      <w:pPr>
        <w:pStyle w:val="Bibliography"/>
      </w:pPr>
      <w:r>
        <w:t xml:space="preserve">Osgood, D. Wayne. 2000.</w:t>
      </w:r>
      <w:r>
        <w:t xml:space="preserve"> </w:t>
      </w:r>
      <w:r>
        <w:t xml:space="preserve">“Poisson-Based Regression Analysis of Aggregate Crime Rates.”</w:t>
      </w:r>
      <w:r>
        <w:t xml:space="preserve"> </w:t>
      </w:r>
      <w:r>
        <w:rPr>
          <w:i/>
          <w:iCs/>
        </w:rPr>
        <w:t xml:space="preserve">Journal of Quantitative Criminology</w:t>
      </w:r>
      <w:r>
        <w:t xml:space="preserve"> </w:t>
      </w:r>
      <w:r>
        <w:t xml:space="preserve">16 (1): 21–43.</w:t>
      </w:r>
      <w:r>
        <w:t xml:space="preserve"> </w:t>
      </w:r>
      <w:hyperlink r:id="rId107">
        <w:r>
          <w:rPr>
            <w:rStyle w:val="Hyperlink"/>
          </w:rPr>
          <w:t xml:space="preserve">https://doi.org/10.1023/A:1007521427059</w:t>
        </w:r>
      </w:hyperlink>
      <w:r>
        <w:t xml:space="preserve">.</w:t>
      </w:r>
    </w:p>
    <w:bookmarkEnd w:id="108"/>
    <w:bookmarkStart w:id="109" w:name="ref-rosenfeld2021"/>
    <w:p>
      <w:pPr>
        <w:pStyle w:val="Bibliography"/>
      </w:pPr>
      <w:r>
        <w:t xml:space="preserve">Rosenfeld, Richard, Thomas Abt, and Ernesto Lopez. 2021.</w:t>
      </w:r>
      <w:r>
        <w:t xml:space="preserve"> </w:t>
      </w:r>
      <w:r>
        <w:t xml:space="preserve">“Pandemic, Social Unrest, and Crime in</w:t>
      </w:r>
      <w:r>
        <w:t xml:space="preserve"> </w:t>
      </w:r>
      <w:r>
        <w:t xml:space="preserve">U.S.</w:t>
      </w:r>
      <w:r>
        <w:t xml:space="preserve"> </w:t>
      </w:r>
      <w:r>
        <w:t xml:space="preserve">Cities: 2020 Year-End Update.”</w:t>
      </w:r>
      <w:r>
        <w:t xml:space="preserve"> </w:t>
      </w:r>
      <w:r>
        <w:t xml:space="preserve">Washington, D.C.: Council on Criminal Justice.</w:t>
      </w:r>
    </w:p>
    <w:bookmarkEnd w:id="109"/>
    <w:bookmarkStart w:id="111" w:name="ref-silvatenenreyro2006"/>
    <w:p>
      <w:pPr>
        <w:pStyle w:val="Bibliography"/>
      </w:pPr>
      <w:r>
        <w:t xml:space="preserve">Santos Silva, J. M. C., and Silvana Tenreyro. 2006.</w:t>
      </w:r>
      <w:r>
        <w:t xml:space="preserve"> </w:t>
      </w:r>
      <w:r>
        <w:t xml:space="preserve">“The Log of Gravity.”</w:t>
      </w:r>
      <w:r>
        <w:t xml:space="preserve"> </w:t>
      </w:r>
      <w:r>
        <w:rPr>
          <w:i/>
          <w:iCs/>
        </w:rPr>
        <w:t xml:space="preserve">The Review of Economics and Statistics</w:t>
      </w:r>
      <w:r>
        <w:t xml:space="preserve"> </w:t>
      </w:r>
      <w:r>
        <w:t xml:space="preserve">88 (4): 641–58.</w:t>
      </w:r>
      <w:r>
        <w:t xml:space="preserve"> </w:t>
      </w:r>
      <w:hyperlink r:id="rId110">
        <w:r>
          <w:rPr>
            <w:rStyle w:val="Hyperlink"/>
          </w:rPr>
          <w:t xml:space="preserve">https://doi.org/10.1162/rest.88.4.641</w:t>
        </w:r>
      </w:hyperlink>
      <w:r>
        <w:t xml:space="preserve">.</w:t>
      </w:r>
    </w:p>
    <w:bookmarkEnd w:id="111"/>
    <w:bookmarkStart w:id="113" w:name="ref-seyidoglu2024"/>
    <w:p>
      <w:pPr>
        <w:pStyle w:val="Bibliography"/>
      </w:pPr>
      <w:r>
        <w:t xml:space="preserve">Seyidoglu, H., G. Farrell, A. Dixon, J. Pina-Sánchez, and N. Malleson. 2024.</w:t>
      </w:r>
      <w:r>
        <w:t xml:space="preserve"> </w:t>
      </w:r>
      <w:r>
        <w:t xml:space="preserve">“Post-Pandemic Crime Trends in</w:t>
      </w:r>
      <w:r>
        <w:t xml:space="preserve"> </w:t>
      </w:r>
      <w:r>
        <w:t xml:space="preserve">England</w:t>
      </w:r>
      <w:r>
        <w:t xml:space="preserve"> </w:t>
      </w:r>
      <w:r>
        <w:t xml:space="preserve">and</w:t>
      </w:r>
      <w:r>
        <w:t xml:space="preserve"> </w:t>
      </w:r>
      <w:r>
        <w:t xml:space="preserve">Wales</w:t>
      </w:r>
      <w:r>
        <w:t xml:space="preserve">.”</w:t>
      </w:r>
      <w:r>
        <w:t xml:space="preserve"> </w:t>
      </w:r>
      <w:r>
        <w:rPr>
          <w:i/>
          <w:iCs/>
        </w:rPr>
        <w:t xml:space="preserve">Crime Science</w:t>
      </w:r>
      <w:r>
        <w:t xml:space="preserve"> </w:t>
      </w:r>
      <w:r>
        <w:t xml:space="preserve">13 (1): 6.</w:t>
      </w:r>
      <w:r>
        <w:t xml:space="preserve"> </w:t>
      </w:r>
      <w:hyperlink r:id="rId112">
        <w:r>
          <w:rPr>
            <w:rStyle w:val="Hyperlink"/>
          </w:rPr>
          <w:t xml:space="preserve">https://doi.org/10.1186/s40163-024-00201-1</w:t>
        </w:r>
      </w:hyperlink>
      <w:r>
        <w:t xml:space="preserve">.</w:t>
      </w:r>
    </w:p>
    <w:bookmarkEnd w:id="113"/>
    <w:bookmarkStart w:id="115" w:name="ref-shamugia2024"/>
    <w:p>
      <w:pPr>
        <w:pStyle w:val="Bibliography"/>
      </w:pPr>
      <w:r>
        <w:t xml:space="preserve">Shamugia, E., and T. Ketsbaia. 2024.</w:t>
      </w:r>
      <w:r>
        <w:t xml:space="preserve"> </w:t>
      </w:r>
      <w:r>
        <w:t xml:space="preserve">“Property Crime in the</w:t>
      </w:r>
      <w:r>
        <w:t xml:space="preserve"> </w:t>
      </w:r>
      <w:r>
        <w:t xml:space="preserve">South Caucasus</w:t>
      </w:r>
      <w:r>
        <w:t xml:space="preserve">: Panel Data Analysis.”</w:t>
      </w:r>
      <w:r>
        <w:t xml:space="preserve"> </w:t>
      </w:r>
      <w:r>
        <w:rPr>
          <w:i/>
          <w:iCs/>
        </w:rPr>
        <w:t xml:space="preserve">Caucasus Journal of Social Sciences</w:t>
      </w:r>
      <w:r>
        <w:t xml:space="preserve"> </w:t>
      </w:r>
      <w:r>
        <w:t xml:space="preserve">17 (1): 270–94.</w:t>
      </w:r>
      <w:r>
        <w:t xml:space="preserve"> </w:t>
      </w:r>
      <w:hyperlink r:id="rId114">
        <w:r>
          <w:rPr>
            <w:rStyle w:val="Hyperlink"/>
          </w:rPr>
          <w:t xml:space="preserve">https://doi.org/10.62343/cjss.2024.253</w:t>
        </w:r>
      </w:hyperlink>
      <w:r>
        <w:t xml:space="preserve">.</w:t>
      </w:r>
    </w:p>
    <w:bookmarkEnd w:id="115"/>
    <w:bookmarkStart w:id="117" w:name="ref-stickle2020"/>
    <w:p>
      <w:pPr>
        <w:pStyle w:val="Bibliography"/>
      </w:pPr>
      <w:r>
        <w:t xml:space="preserve">Stickle, Ben, and Marcus Felson. 2020.</w:t>
      </w:r>
      <w:r>
        <w:t xml:space="preserve"> </w:t>
      </w:r>
      <w:r>
        <w:t xml:space="preserve">“Crime Rates in a Pandemic:</w:t>
      </w:r>
      <w:r>
        <w:t xml:space="preserve"> </w:t>
      </w:r>
      <w:r>
        <w:t xml:space="preserve">T</w:t>
      </w:r>
      <w:r>
        <w:t xml:space="preserve">he Largest Criminological Experiment in History.”</w:t>
      </w:r>
      <w:r>
        <w:t xml:space="preserve"> </w:t>
      </w:r>
      <w:r>
        <w:rPr>
          <w:i/>
          <w:iCs/>
        </w:rPr>
        <w:t xml:space="preserve">American Journal of Criminal Justice</w:t>
      </w:r>
      <w:r>
        <w:t xml:space="preserve"> </w:t>
      </w:r>
      <w:r>
        <w:t xml:space="preserve">45 (4): 525–36.</w:t>
      </w:r>
      <w:r>
        <w:t xml:space="preserve"> </w:t>
      </w:r>
      <w:hyperlink r:id="rId116">
        <w:r>
          <w:rPr>
            <w:rStyle w:val="Hyperlink"/>
          </w:rPr>
          <w:t xml:space="preserve">https://doi.org/10.1007/s12103-020-09546-0</w:t>
        </w:r>
      </w:hyperlink>
      <w:r>
        <w:t xml:space="preserve">.</w:t>
      </w:r>
    </w:p>
    <w:bookmarkEnd w:id="117"/>
    <w:bookmarkStart w:id="118" w:name="ref-tyler2006"/>
    <w:p>
      <w:pPr>
        <w:pStyle w:val="Bibliography"/>
      </w:pPr>
      <w:r>
        <w:t xml:space="preserve">Tyler, Tom R. 2006.</w:t>
      </w:r>
      <w:r>
        <w:t xml:space="preserve"> </w:t>
      </w:r>
      <w:r>
        <w:rPr>
          <w:i/>
          <w:iCs/>
        </w:rPr>
        <w:t xml:space="preserve">Why People Obey the Law</w:t>
      </w:r>
      <w:r>
        <w:t xml:space="preserve">. Edición revisada. Princeton, NJ: Princeton University Press.</w:t>
      </w:r>
    </w:p>
    <w:bookmarkEnd w:id="118"/>
    <w:bookmarkStart w:id="120" w:name="ref-unodc2015iccs"/>
    <w:p>
      <w:pPr>
        <w:pStyle w:val="Bibliography"/>
      </w:pPr>
      <w:r>
        <w:t xml:space="preserve">United Nations Office on Drugs and Crime. 2015.</w:t>
      </w:r>
      <w:r>
        <w:t xml:space="preserve"> </w:t>
      </w:r>
      <w:r>
        <w:t xml:space="preserve">“International</w:t>
      </w:r>
      <w:r>
        <w:t xml:space="preserve"> </w:t>
      </w:r>
      <w:r>
        <w:t xml:space="preserve">C</w:t>
      </w:r>
      <w:r>
        <w:t xml:space="preserve">lassification of</w:t>
      </w:r>
      <w:r>
        <w:t xml:space="preserve"> </w:t>
      </w:r>
      <w:r>
        <w:t xml:space="preserve">C</w:t>
      </w:r>
      <w:r>
        <w:t xml:space="preserve">rime for</w:t>
      </w:r>
      <w:r>
        <w:t xml:space="preserve"> </w:t>
      </w:r>
      <w:r>
        <w:t xml:space="preserve">S</w:t>
      </w:r>
      <w:r>
        <w:t xml:space="preserve">tatistical</w:t>
      </w:r>
      <w:r>
        <w:t xml:space="preserve"> </w:t>
      </w:r>
      <w:r>
        <w:t xml:space="preserve">P</w:t>
      </w:r>
      <w:r>
        <w:t xml:space="preserve">urposes (</w:t>
      </w:r>
      <w:r>
        <w:t xml:space="preserve">ICCS</w:t>
      </w:r>
      <w:r>
        <w:t xml:space="preserve">).”</w:t>
      </w:r>
      <w:r>
        <w:t xml:space="preserve"> </w:t>
      </w:r>
      <w:hyperlink r:id="rId119">
        <w:r>
          <w:rPr>
            <w:rStyle w:val="Hyperlink"/>
          </w:rPr>
          <w:t xml:space="preserve">https://www.unodc.org/unodc/en/data-and-analysis/statistics/iccs.html</w:t>
        </w:r>
      </w:hyperlink>
      <w:r>
        <w:t xml:space="preserve">.</w:t>
      </w:r>
    </w:p>
    <w:bookmarkEnd w:id="120"/>
    <w:bookmarkStart w:id="121" w:name="ref-wooldridge2010"/>
    <w:p>
      <w:pPr>
        <w:pStyle w:val="Bibliography"/>
      </w:pPr>
      <w:r>
        <w:t xml:space="preserve">Wooldridge, Jeffrey M. 2010.</w:t>
      </w:r>
      <w:r>
        <w:t xml:space="preserve"> </w:t>
      </w:r>
      <w:r>
        <w:rPr>
          <w:i/>
          <w:iCs/>
        </w:rPr>
        <w:t xml:space="preserve">Econometric Analysis of Cross Section and Panel Data</w:t>
      </w:r>
      <w:r>
        <w:t xml:space="preserve">. 2.ª edición. Cambridge, MA: MIT Press.</w:t>
      </w:r>
    </w:p>
    <w:bookmarkEnd w:id="121"/>
    <w:bookmarkStart w:id="123" w:name="ref-yin2017"/>
    <w:p>
      <w:pPr>
        <w:pStyle w:val="Bibliography"/>
      </w:pPr>
      <w:r>
        <w:t xml:space="preserve">Yin, S. J. 2017.</w:t>
      </w:r>
      <w:r>
        <w:t xml:space="preserve"> </w:t>
      </w:r>
      <w:r>
        <w:t xml:space="preserve">“Property Crime and Socioeconomic Factors.”</w:t>
      </w:r>
      <w:r>
        <w:t xml:space="preserve"> </w:t>
      </w:r>
      <w:r>
        <w:rPr>
          <w:i/>
          <w:iCs/>
        </w:rPr>
        <w:t xml:space="preserve">Open Journal of Social Sciences</w:t>
      </w:r>
      <w:r>
        <w:t xml:space="preserve"> </w:t>
      </w:r>
      <w:r>
        <w:t xml:space="preserve">5: 226–37.</w:t>
      </w:r>
      <w:r>
        <w:t xml:space="preserve"> </w:t>
      </w:r>
      <w:hyperlink r:id="rId122">
        <w:r>
          <w:rPr>
            <w:rStyle w:val="Hyperlink"/>
          </w:rPr>
          <w:t xml:space="preserve">https://doi.org/10.4236/jss.2017.59016</w:t>
        </w:r>
      </w:hyperlink>
      <w:r>
        <w:t xml:space="preserve">.</w:t>
      </w:r>
    </w:p>
    <w:bookmarkEnd w:id="123"/>
    <w:bookmarkStart w:id="124" w:name="ref-zeileis2002"/>
    <w:p>
      <w:pPr>
        <w:pStyle w:val="Bibliography"/>
      </w:pPr>
      <w:r>
        <w:t xml:space="preserve">Zeileis, Achim, Friedrich Leisch, Kurt Hornik, and Christian Kleiber. 2002.</w:t>
      </w:r>
      <w:r>
        <w:t xml:space="preserve"> </w:t>
      </w:r>
      <w:r>
        <w:t xml:space="preserve">“</w:t>
      </w:r>
      <w:r>
        <w:rPr>
          <w:i/>
          <w:iCs/>
        </w:rPr>
        <w:t xml:space="preserve">Strucchange</w:t>
      </w:r>
      <w:r>
        <w:t xml:space="preserve">:</w:t>
      </w:r>
      <w:r>
        <w:t xml:space="preserve"> </w:t>
      </w:r>
      <w:r>
        <w:t xml:space="preserve">An</w:t>
      </w:r>
      <w:r>
        <w:t xml:space="preserve"> </w:t>
      </w:r>
      <w:r>
        <w:t xml:space="preserve">R</w:t>
      </w:r>
      <w:r>
        <w:t xml:space="preserve"> </w:t>
      </w:r>
      <w:r>
        <w:t xml:space="preserve">Package for Testing for Structural Change in Linear Regression Models.”</w:t>
      </w:r>
      <w:r>
        <w:t xml:space="preserve"> </w:t>
      </w:r>
      <w:r>
        <w:rPr>
          <w:i/>
          <w:iCs/>
        </w:rPr>
        <w:t xml:space="preserve">Journal of Statistical Software</w:t>
      </w:r>
      <w:r>
        <w:t xml:space="preserve"> </w:t>
      </w:r>
      <w:r>
        <w:t xml:space="preserve">7 (2): 1–38.</w:t>
      </w:r>
    </w:p>
    <w:bookmarkEnd w:id="124"/>
    <w:bookmarkEnd w:id="125"/>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4">
    <w:p>
      <w:pPr>
        <w:pStyle w:val="FootnoteText"/>
      </w:pPr>
      <w:r>
        <w:rPr>
          <w:rStyle w:val="FootnoteReference"/>
        </w:rPr>
        <w:footnoteRef/>
      </w:r>
      <w:r>
        <w:t xml:space="preserve"> </w:t>
      </w:r>
      <w:r>
        <w:t xml:space="preserve">Las proyecciones INE con Base Censo 2024 están disponibles</w:t>
      </w:r>
      <w:r>
        <w:t xml:space="preserve"> </w:t>
      </w:r>
      <w:r>
        <w:t xml:space="preserve">únicamente a nivel nacional al momento de este análisis. La desagregación</w:t>
      </w:r>
      <w:r>
        <w:t xml:space="preserve"> </w:t>
      </w:r>
      <w:r>
        <w:t xml:space="preserve">regional aún no ha sido publicada, por lo que el panel de modelamiento mantiene la</w:t>
      </w:r>
      <w:r>
        <w:t xml:space="preserve"> </w:t>
      </w:r>
      <w:r>
        <w:t xml:space="preserve">Base 2017.</w:t>
      </w:r>
    </w:p>
  </w:footnote>
  <w:footnote w:id="16">
    <w:p>
      <w:pPr>
        <w:pStyle w:val="FootnoteText"/>
      </w:pPr>
      <w:r>
        <w:rPr>
          <w:rStyle w:val="FootnoteReference"/>
        </w:rPr>
        <w:footnoteRef/>
      </w:r>
      <w:r>
        <w:t xml:space="preserve"> </w:t>
      </w:r>
      <w:r>
        <w:t xml:space="preserve">Incluye los tipos</w:t>
      </w:r>
      <w:r>
        <w:t xml:space="preserve"> </w:t>
      </w:r>
      <w:r>
        <w:t xml:space="preserve">conocidos popularmente como</w:t>
      </w:r>
      <w:r>
        <w:t xml:space="preserve"> </w:t>
      </w:r>
      <w:r>
        <w:t xml:space="preserve">“encerronas”</w:t>
      </w:r>
      <w:r>
        <w:t xml:space="preserve"> </w:t>
      </w:r>
      <w:r>
        <w:t xml:space="preserve">y</w:t>
      </w:r>
      <w:r>
        <w:t xml:space="preserve"> </w:t>
      </w:r>
      <w:r>
        <w:t xml:space="preserve">“portonazos”</w:t>
      </w:r>
      <w:r>
        <w:t xml:space="preserve"> </w:t>
      </w:r>
      <w:r>
        <w:t xml:space="preserve">(robo de</w:t>
      </w:r>
      <w:r>
        <w:t xml:space="preserve"> </w:t>
      </w:r>
      <w:r>
        <w:t xml:space="preserve">vehículo con violencia o intimidación), así como los robos con</w:t>
      </w:r>
      <w:r>
        <w:t xml:space="preserve"> </w:t>
      </w:r>
      <w:r>
        <w:t xml:space="preserve">resultado de homicidio, violación o lesiones graves.</w:t>
      </w:r>
    </w:p>
  </w:footnote>
  <w:footnote w:id="17">
    <w:p>
      <w:pPr>
        <w:pStyle w:val="FootnoteText"/>
      </w:pPr>
      <w:r>
        <w:rPr>
          <w:rStyle w:val="FootnoteReference"/>
        </w:rPr>
        <w:footnoteRef/>
      </w:r>
      <w:r>
        <w:t xml:space="preserve"> </w:t>
      </w:r>
      <w:r>
        <w:t xml:space="preserve">Denominado popularmente</w:t>
      </w:r>
      <w:r>
        <w:t xml:space="preserve"> </w:t>
      </w:r>
      <w:r>
        <w:t xml:space="preserve">“lanzazo”</w:t>
      </w:r>
      <w:r>
        <w:t xml:space="preserve"> </w:t>
      </w:r>
      <w:r>
        <w:t xml:space="preserve">en espacio abierto o transporte p</w:t>
      </w:r>
      <w:r>
        <w:br/>
      </w:r>
      <w:r>
        <w:t xml:space="preserve">’ublico y</w:t>
      </w:r>
      <w:r>
        <w:t xml:space="preserve"> </w:t>
      </w:r>
      <w:r>
        <w:t xml:space="preserve">o</w:t>
      </w:r>
      <w:r>
        <w:t xml:space="preserve"> </w:t>
      </w:r>
      <w:r>
        <w:t xml:space="preserve">“motochorro”</w:t>
      </w:r>
      <w:r>
        <w:t xml:space="preserve"> </w:t>
      </w:r>
      <w:r>
        <w:t xml:space="preserve">en su versión motorizada.</w:t>
      </w:r>
    </w:p>
  </w:footnote>
  <w:footnote w:id="21">
    <w:p>
      <w:pPr>
        <w:pStyle w:val="FootnoteText"/>
      </w:pPr>
      <w:r>
        <w:rPr>
          <w:rStyle w:val="FootnoteReference"/>
        </w:rPr>
        <w:footnoteRef/>
      </w:r>
      <w:r>
        <w:t xml:space="preserve"> </w:t>
      </w:r>
      <w:r>
        <w:t xml:space="preserve">Las cinco macrozonas agrupan regiones por proximidad geográfica: Norte (Arica y Parinacota, Tarapacá, Antofagasta, Atacama y Coquimbo), Centro (Valparaíso, O’Higgins y Maule), Región Metropolitana, Sur (Biobío, La Araucanía, Ñuble, Los Ríos y Los Lagos) y Austral (Aysén y Magallanes).</w:t>
      </w:r>
    </w:p>
  </w:footnote>
  <w:footnote w:id="22">
    <w:p>
      <w:pPr>
        <w:pStyle w:val="FootnoteText"/>
      </w:pPr>
      <w:r>
        <w:rPr>
          <w:rStyle w:val="FootnoteReference"/>
        </w:rPr>
        <w:footnoteRef/>
      </w:r>
      <w:r>
        <w:t xml:space="preserve"> </w:t>
      </w:r>
      <w:r>
        <w:t xml:space="preserve">Homicidios dolosos CCH:</w:t>
      </w:r>
      <w:r>
        <w:t xml:space="preserve"> </w:t>
      </w:r>
      <w:r>
        <w:t xml:space="preserve">CUM 801 (homicidio simple), CUM 822 (homicidio calificado) y CUM 835</w:t>
      </w:r>
      <w:r>
        <w:t xml:space="preserve"> </w:t>
      </w:r>
      <w:r>
        <w:t xml:space="preserve">(homicidio en riña). Se excluyen los cuasidelitos de homicidio (CUM 836)</w:t>
      </w:r>
      <w:r>
        <w:t xml:space="preserve"> </w:t>
      </w:r>
      <w:r>
        <w:t xml:space="preserve">para aislar la violencia letal intencional.</w:t>
      </w:r>
    </w:p>
  </w:footnote>
  <w:footnote w:id="23">
    <w:p>
      <w:pPr>
        <w:pStyle w:val="FootnoteText"/>
      </w:pPr>
      <w:r>
        <w:rPr>
          <w:rStyle w:val="FootnoteReference"/>
        </w:rPr>
        <w:footnoteRef/>
      </w:r>
      <w:r>
        <w:t xml:space="preserve"> </w:t>
      </w:r>
      <w:r>
        <w:t xml:space="preserve">Secuestros CCH: CUM 202, 235, 236,</w:t>
      </w:r>
      <w:r>
        <w:t xml:space="preserve"> </w:t>
      </w:r>
      <w:r>
        <w:t xml:space="preserve">237, 248 y 249, que comprenden el secuestro en sus modalidades simples,</w:t>
      </w:r>
      <w:r>
        <w:t xml:space="preserve"> </w:t>
      </w:r>
      <w:r>
        <w:t xml:space="preserve">calificadas y con extorsión. Estos registros administrativos son distintos del</w:t>
      </w:r>
      <w:r>
        <w:t xml:space="preserve"> </w:t>
      </w:r>
      <w:r>
        <w:t xml:space="preserve">CUM 862 (robo con retención de víctimas), que forma parte de los robos</w:t>
      </w:r>
      <w:r>
        <w:t xml:space="preserve"> </w:t>
      </w:r>
      <w:r>
        <w:t xml:space="preserve">violentos (C3.1).</w:t>
      </w:r>
    </w:p>
  </w:footnote>
  <w:footnote w:id="30">
    <w:p>
      <w:pPr>
        <w:pStyle w:val="FootnoteText"/>
      </w:pPr>
      <w:r>
        <w:rPr>
          <w:rStyle w:val="FootnoteReference"/>
        </w:rPr>
        <w:footnoteRef/>
      </w:r>
      <w:r>
        <w:t xml:space="preserve"> </w:t>
      </w:r>
      <w:r>
        <w:t xml:space="preserve">Al estimar el modelo</w:t>
      </w:r>
      <w:r>
        <w:t xml:space="preserve"> </w:t>
      </w:r>
      <w:r>
        <w:t xml:space="preserve">con datos hasta diciembre de 2024, el Spline 4 arroja IRR = 1</w:t>
      </w:r>
      <w:r>
        <w:t xml:space="preserve">,</w:t>
      </w:r>
      <w:r>
        <w:t xml:space="preserve">039 (QMLE sin WCB),</w:t>
      </w:r>
      <w:r>
        <w:t xml:space="preserve"> </w:t>
      </w:r>
      <w:r>
        <w:t xml:space="preserve">indicando una trayectoria prácticamente plana en ausencia del año 2025. La</w:t>
      </w:r>
      <w:r>
        <w:t xml:space="preserve"> </w:t>
      </w:r>
      <w:r>
        <w:t xml:space="preserve">inflexión descendente del parámetro principal emerge con la incorporación</w:t>
      </w:r>
      <w:r>
        <w:t xml:space="preserve"> </w:t>
      </w:r>
      <w:r>
        <w:t xml:space="preserve">de los datos de 2025, que consolidan la tendencia a la baja.</w:t>
      </w:r>
    </w:p>
  </w:footnote>
  <w:footnote w:id="37">
    <w:p>
      <w:pPr>
        <w:pStyle w:val="FootnoteText"/>
      </w:pPr>
      <w:r>
        <w:rPr>
          <w:rStyle w:val="FootnoteReference"/>
        </w:rPr>
        <w:footnoteRef/>
      </w:r>
      <w:r>
        <w:t xml:space="preserve"> </w:t>
      </w:r>
      <w:r>
        <w:t xml:space="preserve">Suavizado local por mínimos cuadrados ponderados (</w:t>
      </w:r>
      <w:r>
        <w:rPr>
          <w:i/>
          <w:iCs/>
        </w:rPr>
        <w:t xml:space="preserve">LOESS</w:t>
      </w:r>
      <w:r>
        <w:t xml:space="preserve">, del inglés</w:t>
      </w:r>
      <w:r>
        <w:t xml:space="preserve"> </w:t>
      </w:r>
      <w:r>
        <w:rPr>
          <w:i/>
          <w:iCs/>
        </w:rPr>
        <w:t xml:space="preserve">locally estimated scatterplot smoothing</w:t>
      </w:r>
      <w:r>
        <w:t xml:space="preserve">): estima en cada punto una regresión ponderada sobre las observaciones temporalmente más próximas. El parámetro</w:t>
      </w:r>
      <w:r>
        <w:t xml:space="preserve"> </w:t>
      </w:r>
      <w:r>
        <w:rPr>
          <w:rStyle w:val="VerbatimChar"/>
        </w:rPr>
        <w:t xml:space="preserve">span</w:t>
      </w:r>
      <w:r>
        <w:t xml:space="preserve"> = 0</w:t>
      </w:r>
      <w:r>
        <w:t xml:space="preserve">,</w:t>
      </w:r>
      <w:r>
        <w:t xml:space="preserve">2 equivale a utilizar el 20% de las observaciones como ventana de suavizado.</w:t>
      </w:r>
    </w:p>
  </w:footnote>
  <w:footnote w:id="38">
    <w:p>
      <w:pPr>
        <w:pStyle w:val="FootnoteText"/>
      </w:pPr>
      <w:r>
        <w:rPr>
          <w:rStyle w:val="FootnoteReference"/>
        </w:rPr>
        <w:footnoteRef/>
      </w:r>
      <w:r>
        <w:t xml:space="preserve"> </w:t>
      </w:r>
      <w:r>
        <w:t xml:space="preserve">Al estimar el algoritmo con datos hasta</w:t>
      </w:r>
      <w:r>
        <w:t xml:space="preserve"> </w:t>
      </w:r>
      <w:r>
        <w:t xml:space="preserve">diciembre de 2024—sin incorporar el año 2025—el cuarto quiebre óptimo se</w:t>
      </w:r>
      <w:r>
        <w:t xml:space="preserve"> </w:t>
      </w:r>
      <w:r>
        <w:t xml:space="preserve">desplaza a abril de 2021 (IRR del tramo posterior = 1</w:t>
      </w:r>
      <w:r>
        <w:t xml:space="preserve">,</w:t>
      </w:r>
      <w:r>
        <w:t xml:space="preserve">04, QMLE), capturando la</w:t>
      </w:r>
      <w:r>
        <w:t xml:space="preserve"> </w:t>
      </w:r>
      <w:r>
        <w:t xml:space="preserve">fuerte reactivación post-pandemia. El quiebre de enero de 2024 emerge únicamente</w:t>
      </w:r>
      <w:r>
        <w:t xml:space="preserve"> </w:t>
      </w:r>
      <w:r>
        <w:t xml:space="preserve">al incorporar los datos de 2025, que consolidan ese nivel como punto de inflexión</w:t>
      </w:r>
      <w:r>
        <w:t xml:space="preserve"> </w:t>
      </w:r>
      <w:r>
        <w:t xml:space="preserve">descendente del ratio.</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df" /><Relationship Type="http://schemas.openxmlformats.org/officeDocument/2006/relationships/image" Id="rId31" Target="media/rId31.pdf" /><Relationship Type="http://schemas.openxmlformats.org/officeDocument/2006/relationships/image" Id="rId39" Target="media/rId39.pdf" /><Relationship Type="http://schemas.openxmlformats.org/officeDocument/2006/relationships/image" Id="rId51" Target="media/rId51.pdf" /><Relationship Type="http://schemas.openxmlformats.org/officeDocument/2006/relationships/image" Id="rId43" Target="media/rId43.pdf" /><Relationship Type="http://schemas.openxmlformats.org/officeDocument/2006/relationships/hyperlink" Id="rId116" Target="https://doi.org/10.1007/s12103-020-09546-0" TargetMode="External" /><Relationship Type="http://schemas.openxmlformats.org/officeDocument/2006/relationships/hyperlink" Id="rId107" Target="https://doi.org/10.1023/A:1007521427059" TargetMode="External" /><Relationship Type="http://schemas.openxmlformats.org/officeDocument/2006/relationships/hyperlink" Id="rId95" Target="https://doi.org/10.1080/00036846.2013.806782" TargetMode="External" /><Relationship Type="http://schemas.openxmlformats.org/officeDocument/2006/relationships/hyperlink" Id="rId103" Target="https://doi.org/10.1080/2330443X.2022.2071369" TargetMode="External" /><Relationship Type="http://schemas.openxmlformats.org/officeDocument/2006/relationships/hyperlink" Id="rId70" Target="https://doi.org/10.1086/259394" TargetMode="External" /><Relationship Type="http://schemas.openxmlformats.org/officeDocument/2006/relationships/hyperlink" Id="rId72" Target="https://doi.org/10.1111/ecoj.12137" TargetMode="External" /><Relationship Type="http://schemas.openxmlformats.org/officeDocument/2006/relationships/hyperlink" Id="rId82" Target="https://doi.org/10.11565/oe.v1i184.535" TargetMode="External" /><Relationship Type="http://schemas.openxmlformats.org/officeDocument/2006/relationships/hyperlink" Id="rId110" Target="https://doi.org/10.1162/rest.88.4.641" TargetMode="External" /><Relationship Type="http://schemas.openxmlformats.org/officeDocument/2006/relationships/hyperlink" Id="rId67" Target="https://doi.org/10.1186/s40163-020-00117-6" TargetMode="External" /><Relationship Type="http://schemas.openxmlformats.org/officeDocument/2006/relationships/hyperlink" Id="rId112" Target="https://doi.org/10.1186/s40163-024-00201-1" TargetMode="External" /><Relationship Type="http://schemas.openxmlformats.org/officeDocument/2006/relationships/hyperlink" Id="rId80" Target="https://doi.org/10.2307/2094589" TargetMode="External" /><Relationship Type="http://schemas.openxmlformats.org/officeDocument/2006/relationships/hyperlink" Id="rId105" Target="https://doi.org/10.3389/frsc.2022.865255" TargetMode="External" /><Relationship Type="http://schemas.openxmlformats.org/officeDocument/2006/relationships/hyperlink" Id="rId75" Target="https://doi.org/10.4067/S0719-26812024000100128" TargetMode="External" /><Relationship Type="http://schemas.openxmlformats.org/officeDocument/2006/relationships/hyperlink" Id="rId84" Target="https://doi.org/10.4067/s0718-33992025000200269" TargetMode="External" /><Relationship Type="http://schemas.openxmlformats.org/officeDocument/2006/relationships/hyperlink" Id="rId122" Target="https://doi.org/10.4236/jss.2017.59016" TargetMode="External" /><Relationship Type="http://schemas.openxmlformats.org/officeDocument/2006/relationships/hyperlink" Id="rId114" Target="https://doi.org/10.62343/cjss.2024.253" TargetMode="External" /><Relationship Type="http://schemas.openxmlformats.org/officeDocument/2006/relationships/hyperlink" Id="rId86" Target="https://espaciopublico.cl/nuestro_trabajo/informe-de-seguridad-publica-tendencias-recientes-en-crimen/" TargetMode="External" /><Relationship Type="http://schemas.openxmlformats.org/officeDocument/2006/relationships/hyperlink" Id="rId78" Target="https://www.cepchile.cl/encuesta/encuesta-cep-n-94-mayo-junio-2025-issp-orientaciones-laborales/" TargetMode="External" /><Relationship Type="http://schemas.openxmlformats.org/officeDocument/2006/relationships/hyperlink" Id="rId90" Target="https://www.cepchile.cl/investigacion/el-lado-oculto-del-delito-aproximaciones-al-subreporte-de-la-delincuencia-en-chile/" TargetMode="External" /><Relationship Type="http://schemas.openxmlformats.org/officeDocument/2006/relationships/hyperlink" Id="rId88" Target="https://www.cepchile.cl/investigacion/la-distribucion-comunal-del-delito-en-chile/" TargetMode="External" /><Relationship Type="http://schemas.openxmlformats.org/officeDocument/2006/relationships/hyperlink" Id="rId100" Target="https://www.cepchile.cl/investigacion/voces-del-sur-lo-que-se-oculta-tras-la-causa-mapuche/" TargetMode="External" /><Relationship Type="http://schemas.openxmlformats.org/officeDocument/2006/relationships/hyperlink" Id="rId97" Target="https://www.ine.gob.cl/docs/default-source/seguridad-ciudadana/publicaciones-y-anuarios/2024/sintesis-de-resultados-enusc-2024.pdf" TargetMode="External" /><Relationship Type="http://schemas.openxmlformats.org/officeDocument/2006/relationships/hyperlink" Id="rId93" Target="https://www.rduss.cl/index.php/ojs/article/view/48" TargetMode="External" /><Relationship Type="http://schemas.openxmlformats.org/officeDocument/2006/relationships/hyperlink" Id="rId119" Target="https://www.unodc.org/unodc/en/data-and-analysis/statistics/iccs.html" TargetMode="External" /></Relationships>
</file>

<file path=word/_rels/footnotes.xml.rels><?xml version="1.0" encoding="UTF-8"?><Relationships xmlns="http://schemas.openxmlformats.org/package/2006/relationships"><Relationship Type="http://schemas.openxmlformats.org/officeDocument/2006/relationships/hyperlink" Id="rId116" Target="https://doi.org/10.1007/s12103-020-09546-0" TargetMode="External" /><Relationship Type="http://schemas.openxmlformats.org/officeDocument/2006/relationships/hyperlink" Id="rId107" Target="https://doi.org/10.1023/A:1007521427059" TargetMode="External" /><Relationship Type="http://schemas.openxmlformats.org/officeDocument/2006/relationships/hyperlink" Id="rId95" Target="https://doi.org/10.1080/00036846.2013.806782" TargetMode="External" /><Relationship Type="http://schemas.openxmlformats.org/officeDocument/2006/relationships/hyperlink" Id="rId103" Target="https://doi.org/10.1080/2330443X.2022.2071369" TargetMode="External" /><Relationship Type="http://schemas.openxmlformats.org/officeDocument/2006/relationships/hyperlink" Id="rId70" Target="https://doi.org/10.1086/259394" TargetMode="External" /><Relationship Type="http://schemas.openxmlformats.org/officeDocument/2006/relationships/hyperlink" Id="rId72" Target="https://doi.org/10.1111/ecoj.12137" TargetMode="External" /><Relationship Type="http://schemas.openxmlformats.org/officeDocument/2006/relationships/hyperlink" Id="rId82" Target="https://doi.org/10.11565/oe.v1i184.535" TargetMode="External" /><Relationship Type="http://schemas.openxmlformats.org/officeDocument/2006/relationships/hyperlink" Id="rId110" Target="https://doi.org/10.1162/rest.88.4.641" TargetMode="External" /><Relationship Type="http://schemas.openxmlformats.org/officeDocument/2006/relationships/hyperlink" Id="rId67" Target="https://doi.org/10.1186/s40163-020-00117-6" TargetMode="External" /><Relationship Type="http://schemas.openxmlformats.org/officeDocument/2006/relationships/hyperlink" Id="rId112" Target="https://doi.org/10.1186/s40163-024-00201-1" TargetMode="External" /><Relationship Type="http://schemas.openxmlformats.org/officeDocument/2006/relationships/hyperlink" Id="rId80" Target="https://doi.org/10.2307/2094589" TargetMode="External" /><Relationship Type="http://schemas.openxmlformats.org/officeDocument/2006/relationships/hyperlink" Id="rId105" Target="https://doi.org/10.3389/frsc.2022.865255" TargetMode="External" /><Relationship Type="http://schemas.openxmlformats.org/officeDocument/2006/relationships/hyperlink" Id="rId75" Target="https://doi.org/10.4067/S0719-26812024000100128" TargetMode="External" /><Relationship Type="http://schemas.openxmlformats.org/officeDocument/2006/relationships/hyperlink" Id="rId84" Target="https://doi.org/10.4067/s0718-33992025000200269" TargetMode="External" /><Relationship Type="http://schemas.openxmlformats.org/officeDocument/2006/relationships/hyperlink" Id="rId122" Target="https://doi.org/10.4236/jss.2017.59016" TargetMode="External" /><Relationship Type="http://schemas.openxmlformats.org/officeDocument/2006/relationships/hyperlink" Id="rId114" Target="https://doi.org/10.62343/cjss.2024.253" TargetMode="External" /><Relationship Type="http://schemas.openxmlformats.org/officeDocument/2006/relationships/hyperlink" Id="rId86" Target="https://espaciopublico.cl/nuestro_trabajo/informe-de-seguridad-publica-tendencias-recientes-en-crimen/" TargetMode="External" /><Relationship Type="http://schemas.openxmlformats.org/officeDocument/2006/relationships/hyperlink" Id="rId78" Target="https://www.cepchile.cl/encuesta/encuesta-cep-n-94-mayo-junio-2025-issp-orientaciones-laborales/" TargetMode="External" /><Relationship Type="http://schemas.openxmlformats.org/officeDocument/2006/relationships/hyperlink" Id="rId90" Target="https://www.cepchile.cl/investigacion/el-lado-oculto-del-delito-aproximaciones-al-subreporte-de-la-delincuencia-en-chile/" TargetMode="External" /><Relationship Type="http://schemas.openxmlformats.org/officeDocument/2006/relationships/hyperlink" Id="rId88" Target="https://www.cepchile.cl/investigacion/la-distribucion-comunal-del-delito-en-chile/" TargetMode="External" /><Relationship Type="http://schemas.openxmlformats.org/officeDocument/2006/relationships/hyperlink" Id="rId100" Target="https://www.cepchile.cl/investigacion/voces-del-sur-lo-que-se-oculta-tras-la-causa-mapuche/" TargetMode="External" /><Relationship Type="http://schemas.openxmlformats.org/officeDocument/2006/relationships/hyperlink" Id="rId97" Target="https://www.ine.gob.cl/docs/default-source/seguridad-ciudadana/publicaciones-y-anuarios/2024/sintesis-de-resultados-enusc-2024.pdf" TargetMode="External" /><Relationship Type="http://schemas.openxmlformats.org/officeDocument/2006/relationships/hyperlink" Id="rId93" Target="https://www.rduss.cl/index.php/ojs/article/view/48" TargetMode="External" /><Relationship Type="http://schemas.openxmlformats.org/officeDocument/2006/relationships/hyperlink" Id="rId119" Target="https://www.unodc.org/unodc/en/data-and-analysis/statistics/icc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2026-03-20T19:53:59Z</dcterms:created>
  <dcterms:modified xsi:type="dcterms:W3CDTF">2026-03-20T19:53:59Z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referencias.bib</vt:lpwstr>
  </property>
</Properties>
</file>